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76" w:rsidRPr="00320676" w:rsidRDefault="00320676" w:rsidP="00320676">
      <w:pPr>
        <w:jc w:val="right"/>
        <w:rPr>
          <w:i/>
          <w:color w:val="auto"/>
          <w:sz w:val="24"/>
          <w:szCs w:val="24"/>
        </w:rPr>
      </w:pPr>
      <w:r w:rsidRPr="00320676">
        <w:rPr>
          <w:i/>
          <w:color w:val="auto"/>
          <w:sz w:val="24"/>
          <w:szCs w:val="24"/>
        </w:rPr>
        <w:t>Утвержден Советом директоров 12.02.2019г.</w:t>
      </w:r>
    </w:p>
    <w:p w:rsidR="00320676" w:rsidRDefault="00320676" w:rsidP="00320676">
      <w:pPr>
        <w:jc w:val="center"/>
        <w:rPr>
          <w:b/>
          <w:color w:val="auto"/>
          <w:sz w:val="24"/>
          <w:szCs w:val="24"/>
        </w:rPr>
      </w:pPr>
      <w:r>
        <w:rPr>
          <w:b/>
          <w:color w:val="auto"/>
          <w:sz w:val="24"/>
          <w:szCs w:val="24"/>
        </w:rPr>
        <w:t>ОТЧЁТ ОБ ИТОГАХ РАЗМЕЩЕНИЯ АКЦИЙ ДОПОЛНИТЕЛЬНОГО ВЫПУСКА</w:t>
      </w:r>
    </w:p>
    <w:p w:rsidR="00320676" w:rsidRDefault="00320676" w:rsidP="00320676">
      <w:pPr>
        <w:jc w:val="center"/>
        <w:rPr>
          <w:b/>
          <w:color w:val="auto"/>
          <w:sz w:val="24"/>
          <w:szCs w:val="24"/>
        </w:rPr>
      </w:pPr>
      <w:r>
        <w:rPr>
          <w:b/>
          <w:color w:val="auto"/>
          <w:sz w:val="24"/>
          <w:szCs w:val="24"/>
        </w:rPr>
        <w:t>АО «МЫТИЩИНСКАЯ ТЕПЛОСЕТЬ»</w:t>
      </w:r>
    </w:p>
    <w:p w:rsidR="00320676" w:rsidRDefault="00320676" w:rsidP="00320676">
      <w:pPr>
        <w:jc w:val="center"/>
        <w:rPr>
          <w:b/>
          <w:color w:val="auto"/>
        </w:rPr>
      </w:pPr>
      <w:r>
        <w:rPr>
          <w:b/>
          <w:color w:val="auto"/>
        </w:rPr>
        <w:t>На 1 (первом) этапе</w:t>
      </w:r>
    </w:p>
    <w:tbl>
      <w:tblPr>
        <w:tblStyle w:val="a6"/>
        <w:tblW w:w="15555" w:type="dxa"/>
        <w:tblLayout w:type="fixed"/>
        <w:tblLook w:val="04A0"/>
      </w:tblPr>
      <w:tblGrid>
        <w:gridCol w:w="2732"/>
        <w:gridCol w:w="4320"/>
        <w:gridCol w:w="2267"/>
        <w:gridCol w:w="1701"/>
        <w:gridCol w:w="1897"/>
        <w:gridCol w:w="2638"/>
      </w:tblGrid>
      <w:tr w:rsidR="00320676" w:rsidTr="00320676">
        <w:tc>
          <w:tcPr>
            <w:tcW w:w="2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676" w:rsidRDefault="00320676">
            <w:pPr>
              <w:jc w:val="center"/>
              <w:rPr>
                <w:color w:val="auto"/>
                <w:sz w:val="20"/>
                <w:szCs w:val="20"/>
              </w:rPr>
            </w:pPr>
            <w:r>
              <w:rPr>
                <w:color w:val="auto"/>
                <w:sz w:val="20"/>
                <w:szCs w:val="20"/>
              </w:rPr>
              <w:t>Государственный регистрационный номер выпуска</w:t>
            </w:r>
          </w:p>
        </w:tc>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676" w:rsidRDefault="00320676">
            <w:pPr>
              <w:jc w:val="center"/>
              <w:rPr>
                <w:color w:val="auto"/>
                <w:sz w:val="20"/>
                <w:szCs w:val="20"/>
              </w:rPr>
            </w:pPr>
            <w:r>
              <w:rPr>
                <w:color w:val="auto"/>
                <w:sz w:val="20"/>
                <w:szCs w:val="20"/>
              </w:rPr>
              <w:t>Порядок размещения ценных бумаг дополнительного выпуска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676" w:rsidRDefault="00320676">
            <w:pPr>
              <w:jc w:val="center"/>
              <w:rPr>
                <w:color w:val="auto"/>
                <w:sz w:val="20"/>
                <w:szCs w:val="20"/>
              </w:rPr>
            </w:pPr>
            <w:r>
              <w:rPr>
                <w:color w:val="auto"/>
                <w:sz w:val="20"/>
                <w:szCs w:val="20"/>
              </w:rPr>
              <w:t>Период размещения</w:t>
            </w:r>
          </w:p>
          <w:p w:rsidR="00320676" w:rsidRDefault="00320676">
            <w:pPr>
              <w:jc w:val="center"/>
              <w:rPr>
                <w:color w:val="auto"/>
                <w:sz w:val="20"/>
                <w:szCs w:val="20"/>
              </w:rPr>
            </w:pPr>
            <w:r>
              <w:rPr>
                <w:color w:val="auto"/>
                <w:sz w:val="20"/>
                <w:szCs w:val="20"/>
              </w:rPr>
              <w:t>На первом этапе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676" w:rsidRDefault="00320676">
            <w:pPr>
              <w:jc w:val="center"/>
              <w:rPr>
                <w:color w:val="auto"/>
                <w:sz w:val="20"/>
                <w:szCs w:val="20"/>
              </w:rPr>
            </w:pPr>
            <w:r>
              <w:rPr>
                <w:color w:val="auto"/>
                <w:sz w:val="20"/>
                <w:szCs w:val="20"/>
              </w:rPr>
              <w:t>Цена размещения ценных бумаг</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676" w:rsidRDefault="00320676">
            <w:pPr>
              <w:jc w:val="center"/>
              <w:rPr>
                <w:color w:val="auto"/>
                <w:sz w:val="20"/>
                <w:szCs w:val="20"/>
              </w:rPr>
            </w:pPr>
            <w:r>
              <w:rPr>
                <w:color w:val="auto"/>
                <w:sz w:val="20"/>
                <w:szCs w:val="20"/>
              </w:rPr>
              <w:t>Количество размещенных ценных бумаг, шт.</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676" w:rsidRDefault="00320676">
            <w:pPr>
              <w:jc w:val="center"/>
              <w:rPr>
                <w:color w:val="auto"/>
                <w:sz w:val="20"/>
                <w:szCs w:val="20"/>
              </w:rPr>
            </w:pPr>
            <w:r>
              <w:rPr>
                <w:color w:val="auto"/>
                <w:sz w:val="20"/>
                <w:szCs w:val="20"/>
              </w:rPr>
              <w:t>Объём денежных поступлений в Общество от размещения ценных бумаг дополнительного выпуска, руб.</w:t>
            </w:r>
          </w:p>
        </w:tc>
      </w:tr>
      <w:tr w:rsidR="00320676" w:rsidTr="00320676">
        <w:tc>
          <w:tcPr>
            <w:tcW w:w="2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0676" w:rsidRDefault="00320676">
            <w:pPr>
              <w:rPr>
                <w:color w:val="auto"/>
                <w:sz w:val="24"/>
                <w:szCs w:val="24"/>
              </w:rPr>
            </w:pPr>
          </w:p>
          <w:p w:rsidR="00320676" w:rsidRDefault="00320676">
            <w:pPr>
              <w:rPr>
                <w:color w:val="auto"/>
                <w:sz w:val="24"/>
                <w:szCs w:val="24"/>
              </w:rPr>
            </w:pPr>
          </w:p>
          <w:p w:rsidR="00320676" w:rsidRDefault="00320676">
            <w:pPr>
              <w:rPr>
                <w:color w:val="auto"/>
                <w:sz w:val="24"/>
                <w:szCs w:val="24"/>
                <w:lang w:val="en-US"/>
              </w:rPr>
            </w:pPr>
            <w:r>
              <w:rPr>
                <w:color w:val="auto"/>
                <w:sz w:val="24"/>
                <w:szCs w:val="24"/>
              </w:rPr>
              <w:t>1-02-025-570-А-004</w:t>
            </w:r>
            <w:r>
              <w:rPr>
                <w:color w:val="auto"/>
                <w:sz w:val="24"/>
                <w:szCs w:val="24"/>
                <w:lang w:val="en-US"/>
              </w:rPr>
              <w:t>D</w:t>
            </w:r>
          </w:p>
        </w:tc>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676" w:rsidRDefault="00320676">
            <w:pPr>
              <w:rPr>
                <w:color w:val="auto"/>
                <w:sz w:val="22"/>
                <w:szCs w:val="22"/>
              </w:rPr>
            </w:pPr>
            <w:r>
              <w:rPr>
                <w:color w:val="auto"/>
                <w:sz w:val="22"/>
                <w:szCs w:val="22"/>
              </w:rPr>
              <w:t>Размещение дополнительного выпуска ценных бумаг осуществляется   в два этапа. Круг потенциальных приобретателей акций дополнительного выпуска:</w:t>
            </w:r>
          </w:p>
          <w:p w:rsidR="00320676" w:rsidRDefault="00320676">
            <w:pPr>
              <w:rPr>
                <w:color w:val="auto"/>
                <w:sz w:val="22"/>
                <w:szCs w:val="22"/>
              </w:rPr>
            </w:pPr>
            <w:proofErr w:type="gramStart"/>
            <w:r>
              <w:rPr>
                <w:b/>
                <w:color w:val="auto"/>
                <w:sz w:val="22"/>
                <w:szCs w:val="22"/>
              </w:rPr>
              <w:t>На первом этапе размещения</w:t>
            </w:r>
            <w:r>
              <w:rPr>
                <w:color w:val="auto"/>
                <w:sz w:val="22"/>
                <w:szCs w:val="22"/>
              </w:rPr>
              <w:t xml:space="preserve"> – лица,  включенные  в список лиц, имевших право на участие во внеочередном общем собрании акционеров, на котором принято решение об увеличении уставного капитала посредством размещения дополнительных акций путем проведения закрытой подписки, являющееся основанием для размещения дополнительных акций, составленный по состоянию на «21» августа 2018г.</w:t>
            </w:r>
            <w:proofErr w:type="gramEnd"/>
          </w:p>
          <w:p w:rsidR="00320676" w:rsidRDefault="00320676">
            <w:pPr>
              <w:rPr>
                <w:color w:val="auto"/>
                <w:sz w:val="22"/>
                <w:szCs w:val="22"/>
              </w:rPr>
            </w:pPr>
            <w:r>
              <w:rPr>
                <w:color w:val="auto"/>
                <w:sz w:val="22"/>
                <w:szCs w:val="22"/>
              </w:rPr>
              <w:t xml:space="preserve"> </w:t>
            </w:r>
            <w:r>
              <w:rPr>
                <w:b/>
                <w:color w:val="auto"/>
                <w:sz w:val="22"/>
                <w:szCs w:val="22"/>
              </w:rPr>
              <w:t>На втором этапе размещения</w:t>
            </w:r>
            <w:r>
              <w:rPr>
                <w:color w:val="auto"/>
                <w:sz w:val="22"/>
                <w:szCs w:val="22"/>
              </w:rPr>
              <w:t xml:space="preserve"> – лица, которые приобрели акции на первом этапе.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0676" w:rsidRDefault="00320676">
            <w:pPr>
              <w:jc w:val="center"/>
              <w:rPr>
                <w:color w:val="auto"/>
                <w:sz w:val="24"/>
                <w:szCs w:val="24"/>
              </w:rPr>
            </w:pPr>
          </w:p>
          <w:p w:rsidR="00320676" w:rsidRDefault="00320676">
            <w:pPr>
              <w:jc w:val="center"/>
              <w:rPr>
                <w:color w:val="auto"/>
                <w:sz w:val="24"/>
                <w:szCs w:val="24"/>
              </w:rPr>
            </w:pPr>
          </w:p>
          <w:p w:rsidR="00320676" w:rsidRDefault="00320676">
            <w:pPr>
              <w:jc w:val="center"/>
              <w:rPr>
                <w:color w:val="auto"/>
                <w:sz w:val="24"/>
                <w:szCs w:val="24"/>
              </w:rPr>
            </w:pPr>
            <w:r>
              <w:rPr>
                <w:color w:val="auto"/>
                <w:sz w:val="24"/>
                <w:szCs w:val="24"/>
              </w:rPr>
              <w:t>С    25.12.2018г.</w:t>
            </w:r>
          </w:p>
          <w:p w:rsidR="00320676" w:rsidRDefault="00320676">
            <w:pPr>
              <w:jc w:val="center"/>
              <w:rPr>
                <w:color w:val="auto"/>
                <w:sz w:val="24"/>
                <w:szCs w:val="24"/>
              </w:rPr>
            </w:pPr>
            <w:r>
              <w:rPr>
                <w:color w:val="auto"/>
                <w:sz w:val="24"/>
                <w:szCs w:val="24"/>
              </w:rPr>
              <w:t xml:space="preserve"> по   07.02.2019г. включительно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0676" w:rsidRDefault="00320676">
            <w:pPr>
              <w:jc w:val="center"/>
              <w:rPr>
                <w:color w:val="auto"/>
                <w:sz w:val="24"/>
                <w:szCs w:val="24"/>
              </w:rPr>
            </w:pPr>
          </w:p>
          <w:p w:rsidR="00320676" w:rsidRDefault="00320676">
            <w:pPr>
              <w:jc w:val="center"/>
              <w:rPr>
                <w:color w:val="auto"/>
                <w:sz w:val="24"/>
                <w:szCs w:val="24"/>
              </w:rPr>
            </w:pPr>
          </w:p>
          <w:p w:rsidR="00320676" w:rsidRDefault="00320676">
            <w:pPr>
              <w:jc w:val="center"/>
              <w:rPr>
                <w:color w:val="auto"/>
                <w:sz w:val="24"/>
                <w:szCs w:val="24"/>
              </w:rPr>
            </w:pPr>
            <w:r>
              <w:rPr>
                <w:color w:val="auto"/>
                <w:sz w:val="24"/>
                <w:szCs w:val="24"/>
              </w:rPr>
              <w:t>94руб. 18коп.</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0676" w:rsidRDefault="00320676">
            <w:pPr>
              <w:jc w:val="center"/>
              <w:rPr>
                <w:color w:val="auto"/>
                <w:sz w:val="24"/>
                <w:szCs w:val="24"/>
              </w:rPr>
            </w:pPr>
          </w:p>
          <w:p w:rsidR="00320676" w:rsidRDefault="00320676">
            <w:pPr>
              <w:jc w:val="center"/>
              <w:rPr>
                <w:color w:val="auto"/>
                <w:sz w:val="24"/>
                <w:szCs w:val="24"/>
              </w:rPr>
            </w:pPr>
          </w:p>
          <w:p w:rsidR="00320676" w:rsidRDefault="00320676">
            <w:pPr>
              <w:jc w:val="center"/>
              <w:rPr>
                <w:color w:val="auto"/>
                <w:sz w:val="24"/>
                <w:szCs w:val="24"/>
              </w:rPr>
            </w:pPr>
            <w:r>
              <w:rPr>
                <w:color w:val="auto"/>
                <w:sz w:val="24"/>
                <w:szCs w:val="24"/>
              </w:rPr>
              <w:t>890 248</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0676" w:rsidRDefault="00320676">
            <w:pPr>
              <w:jc w:val="center"/>
              <w:rPr>
                <w:color w:val="auto"/>
                <w:sz w:val="24"/>
                <w:szCs w:val="24"/>
              </w:rPr>
            </w:pPr>
          </w:p>
          <w:p w:rsidR="00320676" w:rsidRDefault="00320676">
            <w:pPr>
              <w:jc w:val="center"/>
              <w:rPr>
                <w:color w:val="auto"/>
                <w:sz w:val="24"/>
                <w:szCs w:val="24"/>
              </w:rPr>
            </w:pPr>
          </w:p>
          <w:p w:rsidR="00320676" w:rsidRDefault="00320676">
            <w:pPr>
              <w:jc w:val="center"/>
              <w:rPr>
                <w:color w:val="auto"/>
                <w:sz w:val="24"/>
                <w:szCs w:val="24"/>
              </w:rPr>
            </w:pPr>
            <w:r>
              <w:rPr>
                <w:color w:val="auto"/>
                <w:sz w:val="24"/>
                <w:szCs w:val="24"/>
              </w:rPr>
              <w:t>83 843 556руб. 64коп.</w:t>
            </w:r>
          </w:p>
        </w:tc>
      </w:tr>
    </w:tbl>
    <w:p w:rsidR="00320676" w:rsidRDefault="00320676" w:rsidP="00320676">
      <w:pPr>
        <w:rPr>
          <w:sz w:val="16"/>
          <w:szCs w:val="16"/>
        </w:rPr>
      </w:pPr>
    </w:p>
    <w:p w:rsidR="00320676" w:rsidRDefault="00320676" w:rsidP="00320676">
      <w:pPr>
        <w:jc w:val="both"/>
        <w:rPr>
          <w:rFonts w:ascii="Cambria" w:hAnsi="Cambria"/>
          <w:b/>
          <w:color w:val="auto"/>
        </w:rPr>
      </w:pPr>
    </w:p>
    <w:p w:rsidR="00320676" w:rsidRDefault="00320676" w:rsidP="00320676">
      <w:pPr>
        <w:jc w:val="both"/>
        <w:rPr>
          <w:rFonts w:ascii="Cambria" w:hAnsi="Cambria"/>
          <w:b/>
          <w:color w:val="auto"/>
        </w:rPr>
      </w:pPr>
      <w:r>
        <w:rPr>
          <w:rFonts w:ascii="Cambria" w:hAnsi="Cambria"/>
          <w:b/>
          <w:color w:val="auto"/>
        </w:rPr>
        <w:t>Количество акций, не размещенных на первом этапе, составляет 589 752 штуки.</w:t>
      </w:r>
    </w:p>
    <w:p w:rsidR="00320676" w:rsidRDefault="00320676" w:rsidP="00320676">
      <w:pPr>
        <w:pStyle w:val="a9"/>
        <w:spacing w:after="210"/>
        <w:ind w:left="0"/>
        <w:jc w:val="both"/>
        <w:outlineLvl w:val="0"/>
        <w:rPr>
          <w:rFonts w:ascii="Cambria" w:hAnsi="Cambria"/>
          <w:color w:val="auto"/>
        </w:rPr>
      </w:pPr>
    </w:p>
    <w:p w:rsidR="00320676" w:rsidRDefault="00320676" w:rsidP="00320676">
      <w:pPr>
        <w:pStyle w:val="a9"/>
        <w:spacing w:after="210"/>
        <w:ind w:left="0"/>
        <w:jc w:val="both"/>
        <w:outlineLvl w:val="0"/>
        <w:rPr>
          <w:rFonts w:ascii="Cambria" w:hAnsi="Cambria"/>
          <w:color w:val="auto"/>
        </w:rPr>
      </w:pPr>
      <w:r>
        <w:rPr>
          <w:rFonts w:ascii="Cambria" w:hAnsi="Cambria"/>
          <w:color w:val="auto"/>
        </w:rPr>
        <w:t>Данные акции могут быть приобретены на 2-ом этапе лицами, которые приобретали акции на первом этапе в соответствии с условиями размещения акций. Размещение акций на втором этапе начинается на следующий день после даты опубликования на сайте АО «</w:t>
      </w:r>
      <w:proofErr w:type="spellStart"/>
      <w:r>
        <w:rPr>
          <w:rFonts w:ascii="Cambria" w:hAnsi="Cambria"/>
          <w:color w:val="auto"/>
        </w:rPr>
        <w:t>Мытищинская</w:t>
      </w:r>
      <w:proofErr w:type="spellEnd"/>
      <w:r>
        <w:rPr>
          <w:rFonts w:ascii="Cambria" w:hAnsi="Cambria"/>
          <w:color w:val="auto"/>
        </w:rPr>
        <w:t xml:space="preserve"> теплосеть» Отчёта об итогах размещения акций на первом этапе и завершается в день размещения последней ценной бумаги выпуска, но не позднее 60 дней с момента начала размещения.</w:t>
      </w:r>
    </w:p>
    <w:p w:rsidR="007535A0" w:rsidRDefault="00320676" w:rsidP="00320676">
      <w:pPr>
        <w:pStyle w:val="a9"/>
        <w:spacing w:after="210"/>
        <w:ind w:left="0"/>
        <w:jc w:val="right"/>
        <w:outlineLvl w:val="0"/>
      </w:pPr>
      <w:r>
        <w:t>Дата публикации настоящего отчета 12.02.2019г.</w:t>
      </w:r>
    </w:p>
    <w:sectPr w:rsidR="007535A0" w:rsidSect="007535A0">
      <w:pgSz w:w="16838" w:h="11906" w:orient="landscape"/>
      <w:pgMar w:top="851" w:right="510" w:bottom="1021" w:left="85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91830"/>
    <w:multiLevelType w:val="hybridMultilevel"/>
    <w:tmpl w:val="3BE67AB6"/>
    <w:lvl w:ilvl="0" w:tplc="00AE5A32">
      <w:start w:val="1"/>
      <w:numFmt w:val="decimal"/>
      <w:lvlText w:val="%1."/>
      <w:lvlJc w:val="left"/>
      <w:pPr>
        <w:ind w:left="1620" w:hanging="360"/>
      </w:pPr>
      <w:rPr>
        <w:rFonts w:cs="Times New Roman" w:hint="default"/>
        <w:color w:val="auto"/>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E731CA"/>
    <w:rsid w:val="00287EE7"/>
    <w:rsid w:val="00304E80"/>
    <w:rsid w:val="00320676"/>
    <w:rsid w:val="00322D70"/>
    <w:rsid w:val="005606D3"/>
    <w:rsid w:val="006B0CF9"/>
    <w:rsid w:val="006F6E06"/>
    <w:rsid w:val="007535A0"/>
    <w:rsid w:val="007A2EBF"/>
    <w:rsid w:val="00D1472E"/>
    <w:rsid w:val="00E731CA"/>
    <w:rsid w:val="00EC7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676"/>
    <w:rPr>
      <w:bCs/>
      <w:color w:val="004080"/>
      <w:sz w:val="28"/>
      <w:szCs w:val="28"/>
    </w:rPr>
  </w:style>
  <w:style w:type="paragraph" w:styleId="1">
    <w:name w:val="heading 1"/>
    <w:basedOn w:val="a"/>
    <w:next w:val="a"/>
    <w:link w:val="10"/>
    <w:qFormat/>
    <w:rsid w:val="00304E80"/>
    <w:pPr>
      <w:keepNext/>
      <w:ind w:firstLine="567"/>
      <w:jc w:val="both"/>
      <w:outlineLvl w:val="0"/>
    </w:pPr>
    <w:rPr>
      <w:rFonts w:ascii="Arial" w:eastAsiaTheme="majorEastAsia" w:hAnsi="Arial" w:cs="Arial"/>
      <w:b/>
      <w:bCs w:val="0"/>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98"/>
    <w:rPr>
      <w:rFonts w:ascii="Arial" w:eastAsiaTheme="majorEastAsia" w:hAnsi="Arial" w:cs="Arial"/>
      <w:b/>
    </w:rPr>
  </w:style>
  <w:style w:type="paragraph" w:styleId="a3">
    <w:name w:val="No Spacing"/>
    <w:uiPriority w:val="1"/>
    <w:qFormat/>
    <w:rsid w:val="00EC7098"/>
    <w:rPr>
      <w:bCs/>
      <w:color w:val="004080"/>
      <w:sz w:val="28"/>
      <w:szCs w:val="28"/>
    </w:rPr>
  </w:style>
  <w:style w:type="paragraph" w:styleId="a4">
    <w:name w:val="Title"/>
    <w:basedOn w:val="a"/>
    <w:link w:val="a5"/>
    <w:qFormat/>
    <w:rsid w:val="00304E80"/>
    <w:pPr>
      <w:jc w:val="center"/>
    </w:pPr>
    <w:rPr>
      <w:b/>
      <w:color w:val="auto"/>
      <w:sz w:val="24"/>
      <w:szCs w:val="24"/>
    </w:rPr>
  </w:style>
  <w:style w:type="character" w:customStyle="1" w:styleId="a5">
    <w:name w:val="Название Знак"/>
    <w:link w:val="a4"/>
    <w:rsid w:val="00304E80"/>
    <w:rPr>
      <w:b/>
      <w:bCs/>
      <w:sz w:val="24"/>
      <w:szCs w:val="24"/>
    </w:rPr>
  </w:style>
  <w:style w:type="table" w:styleId="a6">
    <w:name w:val="Table Grid"/>
    <w:basedOn w:val="a1"/>
    <w:uiPriority w:val="59"/>
    <w:rsid w:val="00E731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E731CA"/>
    <w:rPr>
      <w:rFonts w:ascii="Tahoma" w:hAnsi="Tahoma" w:cs="Tahoma"/>
      <w:sz w:val="16"/>
      <w:szCs w:val="16"/>
    </w:rPr>
  </w:style>
  <w:style w:type="character" w:customStyle="1" w:styleId="a8">
    <w:name w:val="Текст выноски Знак"/>
    <w:basedOn w:val="a0"/>
    <w:link w:val="a7"/>
    <w:uiPriority w:val="99"/>
    <w:semiHidden/>
    <w:rsid w:val="00E731CA"/>
    <w:rPr>
      <w:rFonts w:ascii="Tahoma" w:hAnsi="Tahoma" w:cs="Tahoma"/>
      <w:bCs/>
      <w:color w:val="004080"/>
      <w:sz w:val="16"/>
      <w:szCs w:val="16"/>
    </w:rPr>
  </w:style>
  <w:style w:type="paragraph" w:styleId="a9">
    <w:name w:val="List Paragraph"/>
    <w:basedOn w:val="a"/>
    <w:uiPriority w:val="99"/>
    <w:qFormat/>
    <w:rsid w:val="007535A0"/>
    <w:pPr>
      <w:ind w:left="720"/>
      <w:contextualSpacing/>
    </w:pPr>
  </w:style>
</w:styles>
</file>

<file path=word/webSettings.xml><?xml version="1.0" encoding="utf-8"?>
<w:webSettings xmlns:r="http://schemas.openxmlformats.org/officeDocument/2006/relationships" xmlns:w="http://schemas.openxmlformats.org/wordprocessingml/2006/main">
  <w:divs>
    <w:div w:id="192159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258</Words>
  <Characters>1473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n.birjukova</dc:creator>
  <cp:lastModifiedBy>n.birjukova</cp:lastModifiedBy>
  <cp:revision>4</cp:revision>
  <dcterms:created xsi:type="dcterms:W3CDTF">2019-02-07T08:09:00Z</dcterms:created>
  <dcterms:modified xsi:type="dcterms:W3CDTF">2019-02-12T10:51:00Z</dcterms:modified>
</cp:coreProperties>
</file>