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b/>
          <w:sz w:val="20"/>
          <w:szCs w:val="20"/>
        </w:rPr>
        <w:t>АКЦИОНЕРНОЕ   ОБЩЕСТВО       «МЫТИЩИНСКАЯ   ТЕПЛОСЕТЬ»</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sz w:val="20"/>
          <w:szCs w:val="20"/>
        </w:rPr>
        <w:t>Форма проведения внеочередного общего собрания</w:t>
      </w:r>
      <w:r w:rsidRPr="00535986">
        <w:rPr>
          <w:rFonts w:asciiTheme="majorHAnsi" w:hAnsiTheme="majorHAnsi"/>
          <w:b/>
          <w:sz w:val="20"/>
          <w:szCs w:val="20"/>
        </w:rPr>
        <w:t>: собрание (совместное присутствие)</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sz w:val="20"/>
          <w:szCs w:val="20"/>
        </w:rPr>
        <w:t xml:space="preserve">Дата проведения собрания: </w:t>
      </w:r>
      <w:r w:rsidRPr="00535986">
        <w:rPr>
          <w:rFonts w:asciiTheme="majorHAnsi" w:hAnsiTheme="majorHAnsi"/>
          <w:b/>
          <w:sz w:val="20"/>
          <w:szCs w:val="20"/>
        </w:rPr>
        <w:t xml:space="preserve"> 29 апреля 2019г.</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sz w:val="20"/>
          <w:szCs w:val="20"/>
        </w:rPr>
        <w:t>Место проведения собрания:</w:t>
      </w:r>
      <w:r w:rsidRPr="00535986">
        <w:rPr>
          <w:rFonts w:asciiTheme="majorHAnsi" w:hAnsiTheme="majorHAnsi"/>
          <w:b/>
          <w:sz w:val="20"/>
          <w:szCs w:val="20"/>
        </w:rPr>
        <w:t xml:space="preserve"> Московская область, г. Мытищи, ул. Колпакова, д. 20.</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sz w:val="20"/>
          <w:szCs w:val="20"/>
        </w:rPr>
        <w:t xml:space="preserve">Время проведения внеочередного  общего собрания акционеров: </w:t>
      </w:r>
      <w:r w:rsidRPr="00535986">
        <w:rPr>
          <w:rFonts w:asciiTheme="majorHAnsi" w:hAnsiTheme="majorHAnsi"/>
          <w:b/>
          <w:sz w:val="20"/>
          <w:szCs w:val="20"/>
        </w:rPr>
        <w:t>14 часов 00 минут</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Cs/>
          <w:i/>
          <w:color w:val="FF0000"/>
          <w:sz w:val="20"/>
          <w:szCs w:val="20"/>
        </w:rPr>
      </w:pP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b/>
          <w:sz w:val="20"/>
          <w:szCs w:val="20"/>
        </w:rPr>
        <w:t>Б Ю Л Л Е Т Е Н Ь   ДЛЯ ГОЛОСОВАНИЯ</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535986">
        <w:rPr>
          <w:rFonts w:asciiTheme="majorHAnsi" w:hAnsiTheme="majorHAnsi"/>
          <w:b/>
          <w:sz w:val="20"/>
          <w:szCs w:val="20"/>
        </w:rPr>
        <w:t>Наименование /Ф.И.О. лица, имеющего право на участие в общем собрании:</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i/>
          <w:sz w:val="20"/>
          <w:szCs w:val="20"/>
        </w:rPr>
      </w:pPr>
      <w:r w:rsidRPr="00535986">
        <w:rPr>
          <w:rFonts w:asciiTheme="majorHAnsi" w:hAnsiTheme="majorHAnsi"/>
          <w:b/>
          <w:i/>
          <w:sz w:val="20"/>
          <w:szCs w:val="20"/>
        </w:rPr>
        <w:t>_________________________________________________________________________________________________________________________</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color w:val="FF0000"/>
          <w:sz w:val="20"/>
          <w:szCs w:val="20"/>
        </w:rPr>
      </w:pP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sz w:val="20"/>
          <w:szCs w:val="20"/>
        </w:rPr>
      </w:pPr>
      <w:r w:rsidRPr="00535986">
        <w:rPr>
          <w:rFonts w:asciiTheme="majorHAnsi" w:hAnsiTheme="majorHAnsi"/>
          <w:sz w:val="20"/>
          <w:szCs w:val="20"/>
        </w:rPr>
        <w:t>Количество голосующих акций принадлежащих лицу, имеющему право на участие в общем собрании:</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sz w:val="20"/>
          <w:szCs w:val="20"/>
        </w:rPr>
      </w:pP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b/>
          <w:i/>
          <w:sz w:val="20"/>
          <w:szCs w:val="20"/>
        </w:rPr>
      </w:pPr>
      <w:r w:rsidRPr="00535986">
        <w:rPr>
          <w:rFonts w:asciiTheme="majorHAnsi" w:hAnsiTheme="majorHAnsi"/>
          <w:b/>
          <w:i/>
          <w:sz w:val="20"/>
          <w:szCs w:val="20"/>
        </w:rPr>
        <w:t>___________________________________________________________________________________________________________________________</w:t>
      </w:r>
    </w:p>
    <w:p w:rsidR="00277DFC" w:rsidRPr="00535986" w:rsidRDefault="00277DFC" w:rsidP="00277DFC">
      <w:pPr>
        <w:pBdr>
          <w:top w:val="single" w:sz="4" w:space="1" w:color="auto"/>
          <w:left w:val="single" w:sz="4" w:space="4" w:color="auto"/>
          <w:bottom w:val="single" w:sz="4" w:space="1" w:color="auto"/>
          <w:right w:val="single" w:sz="4" w:space="4" w:color="auto"/>
        </w:pBdr>
        <w:jc w:val="center"/>
        <w:rPr>
          <w:rFonts w:asciiTheme="majorHAnsi" w:hAnsiTheme="majorHAnsi"/>
          <w:i/>
          <w:color w:val="FF0000"/>
          <w:sz w:val="20"/>
          <w:szCs w:val="20"/>
        </w:rPr>
      </w:pPr>
      <w:r w:rsidRPr="00535986">
        <w:rPr>
          <w:rFonts w:asciiTheme="majorHAnsi" w:hAnsiTheme="majorHAnsi"/>
          <w:i/>
          <w:sz w:val="20"/>
          <w:szCs w:val="20"/>
        </w:rPr>
        <w:t>(на основании данных  списка лиц, имеющих право на участие в общем собрании)</w:t>
      </w:r>
    </w:p>
    <w:p w:rsidR="00425721" w:rsidRPr="00535986" w:rsidRDefault="00425721" w:rsidP="00425721">
      <w:pPr>
        <w:jc w:val="both"/>
        <w:rPr>
          <w:rFonts w:asciiTheme="majorHAnsi" w:hAnsiTheme="majorHAnsi"/>
          <w:color w:val="FF0000"/>
          <w:sz w:val="22"/>
          <w:szCs w:val="22"/>
        </w:rPr>
      </w:pPr>
    </w:p>
    <w:p w:rsidR="00425721" w:rsidRPr="00535986" w:rsidRDefault="00425721" w:rsidP="00425721">
      <w:pPr>
        <w:suppressAutoHyphens w:val="0"/>
        <w:jc w:val="both"/>
        <w:rPr>
          <w:rFonts w:asciiTheme="majorHAnsi" w:hAnsiTheme="majorHAnsi"/>
          <w:b/>
          <w:sz w:val="22"/>
          <w:szCs w:val="22"/>
        </w:rPr>
      </w:pPr>
      <w:r w:rsidRPr="00535986">
        <w:rPr>
          <w:rFonts w:asciiTheme="majorHAnsi" w:hAnsiTheme="majorHAnsi"/>
          <w:b/>
          <w:bCs/>
          <w:sz w:val="22"/>
          <w:szCs w:val="22"/>
        </w:rPr>
        <w:t xml:space="preserve">ВОПРОС 1. О последующем одобрении крупной сделки по </w:t>
      </w:r>
      <w:r w:rsidRPr="00535986">
        <w:rPr>
          <w:rFonts w:asciiTheme="majorHAnsi" w:hAnsiTheme="majorHAnsi"/>
          <w:b/>
          <w:sz w:val="22"/>
          <w:szCs w:val="22"/>
        </w:rPr>
        <w:t>заключению Договора №01480118/00722200 от 27 февраля 2019г. об открытии невозобновляемой кредитной линии между АО «Мытищинская теплосеть» и ПАО Сбербанк с учётом Дополнительного соглашения  №1 от 25 марта 2019г.</w:t>
      </w:r>
    </w:p>
    <w:p w:rsidR="00425721" w:rsidRPr="00535986" w:rsidRDefault="00425721" w:rsidP="00425721">
      <w:pPr>
        <w:jc w:val="both"/>
        <w:rPr>
          <w:rFonts w:asciiTheme="majorHAnsi" w:hAnsiTheme="majorHAnsi"/>
          <w:sz w:val="22"/>
          <w:szCs w:val="22"/>
        </w:rPr>
      </w:pPr>
    </w:p>
    <w:p w:rsidR="00425721" w:rsidRPr="00535986" w:rsidRDefault="00425721" w:rsidP="00425721">
      <w:pPr>
        <w:autoSpaceDE w:val="0"/>
        <w:autoSpaceDN w:val="0"/>
        <w:adjustRightInd w:val="0"/>
        <w:jc w:val="both"/>
        <w:rPr>
          <w:rFonts w:asciiTheme="majorHAnsi" w:hAnsiTheme="majorHAnsi"/>
          <w:sz w:val="22"/>
          <w:szCs w:val="22"/>
        </w:rPr>
      </w:pPr>
      <w:r w:rsidRPr="00535986">
        <w:rPr>
          <w:rFonts w:asciiTheme="majorHAnsi" w:hAnsiTheme="majorHAnsi"/>
          <w:b/>
          <w:sz w:val="22"/>
          <w:szCs w:val="22"/>
        </w:rPr>
        <w:t xml:space="preserve">ПРИНЯТОЕ РЕШЕНИЕ: </w:t>
      </w:r>
      <w:r w:rsidRPr="00535986">
        <w:rPr>
          <w:rFonts w:asciiTheme="majorHAnsi" w:hAnsiTheme="majorHAnsi"/>
          <w:sz w:val="22"/>
          <w:szCs w:val="22"/>
        </w:rPr>
        <w:t>На основании заключения, утвержденного Советом директоров</w:t>
      </w:r>
      <w:r w:rsidRPr="00535986">
        <w:rPr>
          <w:rFonts w:asciiTheme="majorHAnsi" w:hAnsiTheme="majorHAnsi"/>
          <w:color w:val="00B050"/>
          <w:sz w:val="22"/>
          <w:szCs w:val="22"/>
        </w:rPr>
        <w:t xml:space="preserve"> </w:t>
      </w:r>
      <w:r w:rsidRPr="00535986">
        <w:rPr>
          <w:rFonts w:asciiTheme="majorHAnsi" w:hAnsiTheme="majorHAnsi" w:cs="Cambria"/>
          <w:color w:val="00B050"/>
          <w:sz w:val="22"/>
          <w:szCs w:val="22"/>
        </w:rPr>
        <w:t xml:space="preserve"> </w:t>
      </w:r>
      <w:r w:rsidRPr="00535986">
        <w:rPr>
          <w:rFonts w:asciiTheme="majorHAnsi" w:hAnsiTheme="majorHAnsi" w:cs="Cambria"/>
          <w:sz w:val="22"/>
          <w:szCs w:val="22"/>
        </w:rPr>
        <w:t xml:space="preserve">(Протокол №5 от «25» марта 2019г.) о предполагаемых последствиях для деятельности общества в результате совершения крупной сделки, </w:t>
      </w:r>
      <w:r w:rsidRPr="00535986">
        <w:rPr>
          <w:rFonts w:asciiTheme="majorHAnsi" w:hAnsiTheme="majorHAnsi"/>
          <w:sz w:val="22"/>
          <w:szCs w:val="22"/>
        </w:rPr>
        <w:t xml:space="preserve">предоставить последующее одобрение крупной сделки, </w:t>
      </w:r>
      <w:r w:rsidRPr="00535986">
        <w:rPr>
          <w:rFonts w:asciiTheme="majorHAnsi" w:hAnsiTheme="majorHAnsi" w:cs="Cambria"/>
          <w:sz w:val="22"/>
          <w:szCs w:val="22"/>
        </w:rPr>
        <w:t xml:space="preserve">предметом которой является имущество, стоимость которого составляет более 50 процентов балансовой стоимости активов общества - </w:t>
      </w:r>
      <w:r w:rsidRPr="00535986">
        <w:rPr>
          <w:rFonts w:asciiTheme="majorHAnsi" w:hAnsiTheme="majorHAnsi"/>
          <w:sz w:val="22"/>
          <w:szCs w:val="22"/>
        </w:rPr>
        <w:t>заключенный между Акционерным обществом «Мытищинская теплосеть» ОГРН 1025003513017, ИНН 5029004624  (Заемщик) и Публичным  акционерным обществом «Сбербанк России» ОГРН 1027700132195, ИНН 7707083893 (Кредитор) Договор №01480118/00722200 от 27 февраля 2019г. об открытии невозобновляемой кредитной линии (с учётом Дополнительного соглашения №1 от 25.03.2019г.), на следующих условиях:</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1. Вид кредитования: невозобновляемая кредитная линия.</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2. Целевое назначение кредита:</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2.1. Финансирование инвестиционных затрат при реализации мероприятий Финансируемой инвестиционной программы 2018-2019 гг.;</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2.2. Возмещение понесенных инвестиционных затрат при реализации Финансируемой инвестиционной программы 2018-2019гг. с возможностью направления средств на цели возврата Акционерных займов, привлеченных для оплаты инвестиционных затрат по Финансируемой инвестиционной программе 2018-2019 гг.;</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Типы работ/инвестиционных затрат при реализации Финансируемой инвестиционной программы 2018-2019гг., разрешенные к оплате/возмещению за счет кредитных средств:</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Расходы на выполнение строительно-монтажных работ по созданию/реконструкции/модернизации Объекта;</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Расходы на закупку оборудования, используемого для создания/реконструкции/модернизации Объекта и передаваемого Концеденту;</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Расходы на проектирование и/или экспертизу проектной документации по Проекту, передаваемой Концеденту;</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 xml:space="preserve">Расходы на изыскательские работы, связанные с созданием/реконструкцией/модернизацией Объекта. </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3. Размер кредита - не более 853 247 000,00 рублей.</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4. Процентная ставка - плавающая, размер которой устанавливается исходя из размера действующей ключевой ставки Банка России (плавающая составляющая) плюс 2,5 (Две целых пять десятых) процентов годовых (фиксированная маржа).</w:t>
      </w:r>
    </w:p>
    <w:p w:rsidR="00425721" w:rsidRPr="00535986" w:rsidRDefault="00425721" w:rsidP="00277DFC">
      <w:pPr>
        <w:rPr>
          <w:rFonts w:asciiTheme="majorHAnsi" w:hAnsiTheme="majorHAnsi"/>
          <w:sz w:val="22"/>
          <w:szCs w:val="22"/>
        </w:rPr>
      </w:pPr>
      <w:r w:rsidRPr="00535986">
        <w:rPr>
          <w:rFonts w:asciiTheme="majorHAnsi" w:hAnsiTheme="majorHAnsi"/>
          <w:sz w:val="22"/>
          <w:szCs w:val="22"/>
        </w:rPr>
        <w:t>В случае если ключевая ставка Банка России на дату установления процентной ставки окажется меньше 6,5 (Шести целых пяти десятых) процентов годовых, то она принимается равной 6,5 (Шести целым пяти десятым) процентам годовых.</w:t>
      </w:r>
    </w:p>
    <w:p w:rsidR="00425721" w:rsidRPr="00535986" w:rsidRDefault="00425721" w:rsidP="00277DFC">
      <w:pPr>
        <w:rPr>
          <w:rFonts w:asciiTheme="majorHAnsi" w:hAnsiTheme="majorHAnsi"/>
          <w:sz w:val="22"/>
          <w:szCs w:val="22"/>
        </w:rPr>
      </w:pPr>
      <w:r w:rsidRPr="00535986">
        <w:rPr>
          <w:rFonts w:asciiTheme="majorHAnsi" w:hAnsiTheme="majorHAnsi"/>
          <w:sz w:val="22"/>
          <w:szCs w:val="22"/>
        </w:rPr>
        <w:t>В случае если Ключевая ставка банка России на дату установления процентной ставки окажется больше 11,5 (Одиннадцати целых пяти десятых) процентов годовых, то она принимается равной 11,5 (Одиннадцати целых пяти десятых) процентам годовых.</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lastRenderedPageBreak/>
        <w:t xml:space="preserve">5. Срок Договора - не более 120 месяцев с даты заключения. </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 xml:space="preserve">6. </w:t>
      </w:r>
      <w:r w:rsidRPr="00535986">
        <w:rPr>
          <w:rFonts w:asciiTheme="majorHAnsi" w:hAnsiTheme="majorHAnsi"/>
          <w:bCs/>
          <w:sz w:val="22"/>
          <w:szCs w:val="22"/>
        </w:rPr>
        <w:t>Иные существенные условия Договора приведены в Приложении 1, Приложении 2, являющихся неотъемлемым приложением к настоящему протоколу.</w:t>
      </w:r>
    </w:p>
    <w:p w:rsidR="00425721" w:rsidRPr="00535986" w:rsidRDefault="00425721" w:rsidP="00425721">
      <w:pPr>
        <w:jc w:val="both"/>
        <w:rPr>
          <w:rFonts w:asciiTheme="majorHAnsi" w:hAnsiTheme="majorHAnsi"/>
          <w:iCs/>
          <w:sz w:val="22"/>
          <w:szCs w:val="22"/>
        </w:rPr>
      </w:pPr>
      <w:r w:rsidRPr="00535986">
        <w:rPr>
          <w:rFonts w:asciiTheme="majorHAnsi" w:hAnsiTheme="majorHAnsi"/>
          <w:iCs/>
          <w:sz w:val="22"/>
          <w:szCs w:val="22"/>
        </w:rPr>
        <w:t>Выгодоприобретатель: АО «Мытищинская теплосеть»;</w:t>
      </w:r>
    </w:p>
    <w:p w:rsidR="00425721" w:rsidRPr="00535986" w:rsidRDefault="00425721" w:rsidP="00425721">
      <w:pPr>
        <w:jc w:val="both"/>
        <w:rPr>
          <w:rFonts w:asciiTheme="majorHAnsi" w:hAnsiTheme="majorHAnsi"/>
          <w:iCs/>
          <w:sz w:val="22"/>
          <w:szCs w:val="22"/>
        </w:rPr>
      </w:pPr>
      <w:r w:rsidRPr="00535986">
        <w:rPr>
          <w:rFonts w:asciiTheme="majorHAnsi" w:hAnsiTheme="majorHAnsi"/>
          <w:iCs/>
          <w:sz w:val="22"/>
          <w:szCs w:val="22"/>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1101"/>
        <w:gridCol w:w="2581"/>
        <w:gridCol w:w="1234"/>
        <w:gridCol w:w="2748"/>
      </w:tblGrid>
      <w:tr w:rsidR="00425721" w:rsidRPr="00535986" w:rsidTr="00277DFC">
        <w:tc>
          <w:tcPr>
            <w:tcW w:w="2542" w:type="dxa"/>
          </w:tcPr>
          <w:p w:rsidR="00425721" w:rsidRPr="00535986" w:rsidRDefault="00425721" w:rsidP="00425721">
            <w:pPr>
              <w:jc w:val="center"/>
              <w:rPr>
                <w:rFonts w:asciiTheme="majorHAnsi" w:hAnsiTheme="majorHAnsi"/>
                <w:b/>
                <w:sz w:val="22"/>
                <w:szCs w:val="22"/>
              </w:rPr>
            </w:pPr>
            <w:r w:rsidRPr="00535986">
              <w:rPr>
                <w:rFonts w:asciiTheme="majorHAnsi" w:hAnsiTheme="majorHAnsi"/>
                <w:b/>
                <w:sz w:val="22"/>
                <w:szCs w:val="22"/>
              </w:rPr>
              <w:t>ЗА</w:t>
            </w:r>
          </w:p>
        </w:tc>
        <w:tc>
          <w:tcPr>
            <w:tcW w:w="1101" w:type="dxa"/>
            <w:tcBorders>
              <w:top w:val="nil"/>
              <w:left w:val="single" w:sz="4" w:space="0" w:color="auto"/>
              <w:bottom w:val="nil"/>
              <w:right w:val="single" w:sz="4" w:space="0" w:color="auto"/>
            </w:tcBorders>
          </w:tcPr>
          <w:p w:rsidR="00425721" w:rsidRPr="00535986" w:rsidRDefault="00425721" w:rsidP="00425721">
            <w:pPr>
              <w:jc w:val="center"/>
              <w:rPr>
                <w:rFonts w:asciiTheme="majorHAnsi" w:hAnsiTheme="majorHAnsi"/>
                <w:b/>
                <w:sz w:val="22"/>
                <w:szCs w:val="22"/>
              </w:rPr>
            </w:pPr>
          </w:p>
        </w:tc>
        <w:tc>
          <w:tcPr>
            <w:tcW w:w="2581" w:type="dxa"/>
            <w:tcBorders>
              <w:left w:val="single" w:sz="4" w:space="0" w:color="auto"/>
            </w:tcBorders>
          </w:tcPr>
          <w:p w:rsidR="00425721" w:rsidRPr="00535986" w:rsidRDefault="00425721" w:rsidP="00425721">
            <w:pPr>
              <w:jc w:val="center"/>
              <w:rPr>
                <w:rFonts w:asciiTheme="majorHAnsi" w:hAnsiTheme="majorHAnsi"/>
                <w:b/>
                <w:sz w:val="22"/>
                <w:szCs w:val="22"/>
              </w:rPr>
            </w:pPr>
            <w:r w:rsidRPr="00535986">
              <w:rPr>
                <w:rFonts w:asciiTheme="majorHAnsi" w:hAnsiTheme="majorHAnsi"/>
                <w:b/>
                <w:sz w:val="22"/>
                <w:szCs w:val="22"/>
              </w:rPr>
              <w:t xml:space="preserve">ПРОТИВ   </w:t>
            </w:r>
          </w:p>
        </w:tc>
        <w:tc>
          <w:tcPr>
            <w:tcW w:w="1234" w:type="dxa"/>
            <w:tcBorders>
              <w:top w:val="nil"/>
              <w:left w:val="single" w:sz="4" w:space="0" w:color="auto"/>
              <w:bottom w:val="nil"/>
              <w:right w:val="single" w:sz="4" w:space="0" w:color="auto"/>
            </w:tcBorders>
          </w:tcPr>
          <w:p w:rsidR="00425721" w:rsidRPr="00535986" w:rsidRDefault="00425721" w:rsidP="00425721">
            <w:pPr>
              <w:jc w:val="center"/>
              <w:rPr>
                <w:rFonts w:asciiTheme="majorHAnsi" w:hAnsiTheme="majorHAnsi"/>
                <w:b/>
                <w:sz w:val="22"/>
                <w:szCs w:val="22"/>
              </w:rPr>
            </w:pPr>
          </w:p>
        </w:tc>
        <w:tc>
          <w:tcPr>
            <w:tcW w:w="2748" w:type="dxa"/>
            <w:tcBorders>
              <w:left w:val="single" w:sz="4" w:space="0" w:color="auto"/>
              <w:right w:val="single" w:sz="4" w:space="0" w:color="auto"/>
            </w:tcBorders>
          </w:tcPr>
          <w:p w:rsidR="00425721" w:rsidRPr="00535986" w:rsidRDefault="00425721" w:rsidP="00425721">
            <w:pPr>
              <w:jc w:val="center"/>
              <w:rPr>
                <w:rFonts w:asciiTheme="majorHAnsi" w:hAnsiTheme="majorHAnsi"/>
                <w:b/>
                <w:sz w:val="22"/>
                <w:szCs w:val="22"/>
              </w:rPr>
            </w:pPr>
            <w:r w:rsidRPr="00535986">
              <w:rPr>
                <w:rFonts w:asciiTheme="majorHAnsi" w:hAnsiTheme="majorHAnsi"/>
                <w:b/>
                <w:sz w:val="22"/>
                <w:szCs w:val="22"/>
              </w:rPr>
              <w:t xml:space="preserve">ВОЗДЕРЖАЛСЯ  </w:t>
            </w:r>
          </w:p>
        </w:tc>
      </w:tr>
      <w:tr w:rsidR="00425721" w:rsidRPr="00535986" w:rsidTr="00277DFC">
        <w:trPr>
          <w:trHeight w:val="161"/>
        </w:trPr>
        <w:tc>
          <w:tcPr>
            <w:tcW w:w="2542" w:type="dxa"/>
          </w:tcPr>
          <w:p w:rsidR="00425721" w:rsidRPr="00535986" w:rsidRDefault="00425721" w:rsidP="00425721">
            <w:pPr>
              <w:jc w:val="both"/>
              <w:rPr>
                <w:rFonts w:asciiTheme="majorHAnsi" w:hAnsiTheme="majorHAnsi"/>
                <w:b/>
                <w:sz w:val="22"/>
                <w:szCs w:val="22"/>
                <w:u w:val="single"/>
              </w:rPr>
            </w:pPr>
          </w:p>
          <w:p w:rsidR="00425721" w:rsidRPr="00535986" w:rsidRDefault="00425721" w:rsidP="00425721">
            <w:pPr>
              <w:jc w:val="both"/>
              <w:rPr>
                <w:rFonts w:asciiTheme="majorHAnsi" w:hAnsiTheme="majorHAnsi"/>
                <w:b/>
                <w:sz w:val="22"/>
                <w:szCs w:val="22"/>
                <w:u w:val="single"/>
              </w:rPr>
            </w:pPr>
          </w:p>
        </w:tc>
        <w:tc>
          <w:tcPr>
            <w:tcW w:w="1101" w:type="dxa"/>
            <w:tcBorders>
              <w:top w:val="nil"/>
              <w:left w:val="single" w:sz="4" w:space="0" w:color="auto"/>
              <w:bottom w:val="nil"/>
              <w:right w:val="single" w:sz="4" w:space="0" w:color="auto"/>
            </w:tcBorders>
          </w:tcPr>
          <w:p w:rsidR="00425721" w:rsidRPr="00535986" w:rsidRDefault="00425721" w:rsidP="00425721">
            <w:pPr>
              <w:jc w:val="both"/>
              <w:rPr>
                <w:rFonts w:asciiTheme="majorHAnsi" w:hAnsiTheme="majorHAnsi"/>
                <w:b/>
                <w:sz w:val="22"/>
                <w:szCs w:val="22"/>
                <w:u w:val="single"/>
              </w:rPr>
            </w:pPr>
          </w:p>
        </w:tc>
        <w:tc>
          <w:tcPr>
            <w:tcW w:w="2581" w:type="dxa"/>
            <w:tcBorders>
              <w:left w:val="single" w:sz="4" w:space="0" w:color="auto"/>
            </w:tcBorders>
          </w:tcPr>
          <w:p w:rsidR="00425721" w:rsidRPr="00535986" w:rsidRDefault="00425721" w:rsidP="00425721">
            <w:pPr>
              <w:jc w:val="both"/>
              <w:rPr>
                <w:rFonts w:asciiTheme="majorHAnsi" w:hAnsiTheme="majorHAnsi"/>
                <w:b/>
                <w:sz w:val="22"/>
                <w:szCs w:val="22"/>
                <w:u w:val="single"/>
              </w:rPr>
            </w:pPr>
          </w:p>
          <w:p w:rsidR="00425721" w:rsidRPr="00535986" w:rsidRDefault="00425721" w:rsidP="00425721">
            <w:pPr>
              <w:jc w:val="both"/>
              <w:rPr>
                <w:rFonts w:asciiTheme="majorHAnsi" w:hAnsiTheme="majorHAnsi"/>
                <w:b/>
                <w:sz w:val="22"/>
                <w:szCs w:val="22"/>
                <w:u w:val="single"/>
              </w:rPr>
            </w:pPr>
          </w:p>
        </w:tc>
        <w:tc>
          <w:tcPr>
            <w:tcW w:w="1234" w:type="dxa"/>
            <w:tcBorders>
              <w:top w:val="nil"/>
              <w:left w:val="single" w:sz="4" w:space="0" w:color="auto"/>
              <w:bottom w:val="nil"/>
              <w:right w:val="single" w:sz="4" w:space="0" w:color="auto"/>
            </w:tcBorders>
          </w:tcPr>
          <w:p w:rsidR="00425721" w:rsidRPr="00535986" w:rsidRDefault="00425721" w:rsidP="00425721">
            <w:pPr>
              <w:jc w:val="both"/>
              <w:rPr>
                <w:rFonts w:asciiTheme="majorHAnsi" w:hAnsiTheme="majorHAnsi"/>
                <w:b/>
                <w:sz w:val="22"/>
                <w:szCs w:val="22"/>
                <w:u w:val="single"/>
              </w:rPr>
            </w:pPr>
          </w:p>
        </w:tc>
        <w:tc>
          <w:tcPr>
            <w:tcW w:w="2748" w:type="dxa"/>
            <w:tcBorders>
              <w:left w:val="single" w:sz="4" w:space="0" w:color="auto"/>
              <w:right w:val="single" w:sz="4" w:space="0" w:color="auto"/>
            </w:tcBorders>
          </w:tcPr>
          <w:p w:rsidR="00425721" w:rsidRPr="00535986" w:rsidRDefault="00425721" w:rsidP="00425721">
            <w:pPr>
              <w:jc w:val="both"/>
              <w:rPr>
                <w:rFonts w:asciiTheme="majorHAnsi" w:hAnsiTheme="majorHAnsi"/>
                <w:b/>
                <w:sz w:val="22"/>
                <w:szCs w:val="22"/>
                <w:u w:val="single"/>
              </w:rPr>
            </w:pPr>
          </w:p>
          <w:p w:rsidR="00425721" w:rsidRPr="00535986" w:rsidRDefault="00425721" w:rsidP="00425721">
            <w:pPr>
              <w:jc w:val="both"/>
              <w:rPr>
                <w:rFonts w:asciiTheme="majorHAnsi" w:hAnsiTheme="majorHAnsi"/>
                <w:b/>
                <w:sz w:val="22"/>
                <w:szCs w:val="22"/>
                <w:u w:val="single"/>
              </w:rPr>
            </w:pPr>
          </w:p>
        </w:tc>
      </w:tr>
    </w:tbl>
    <w:p w:rsidR="00425721" w:rsidRPr="00535986" w:rsidRDefault="00425721" w:rsidP="00425721">
      <w:pPr>
        <w:pBdr>
          <w:bottom w:val="single" w:sz="12" w:space="1" w:color="auto"/>
        </w:pBdr>
        <w:jc w:val="both"/>
        <w:rPr>
          <w:rFonts w:asciiTheme="majorHAnsi" w:hAnsiTheme="majorHAnsi"/>
          <w:sz w:val="22"/>
          <w:szCs w:val="22"/>
        </w:rPr>
      </w:pPr>
      <w:r w:rsidRPr="00535986">
        <w:rPr>
          <w:rFonts w:asciiTheme="majorHAnsi" w:hAnsiTheme="majorHAnsi"/>
          <w:b/>
          <w:sz w:val="22"/>
          <w:szCs w:val="22"/>
        </w:rPr>
        <w:t>ВНИМАНИЕ!</w:t>
      </w:r>
      <w:r w:rsidRPr="00535986">
        <w:rPr>
          <w:rFonts w:asciiTheme="majorHAnsi" w:hAnsiTheme="majorHAnsi"/>
          <w:b/>
          <w:sz w:val="22"/>
          <w:szCs w:val="22"/>
        </w:rPr>
        <w:tab/>
      </w:r>
      <w:r w:rsidRPr="00535986">
        <w:rPr>
          <w:rFonts w:asciiTheme="majorHAnsi" w:hAnsiTheme="majorHAnsi"/>
          <w:sz w:val="22"/>
          <w:szCs w:val="22"/>
        </w:rPr>
        <w:t>Выберите (</w:t>
      </w:r>
      <w:r w:rsidRPr="00535986">
        <w:rPr>
          <w:rFonts w:asciiTheme="majorHAnsi" w:hAnsiTheme="majorHAnsi"/>
          <w:b/>
          <w:sz w:val="22"/>
          <w:szCs w:val="22"/>
        </w:rPr>
        <w:t>оставьте не зачеркнутым</w:t>
      </w:r>
      <w:r w:rsidRPr="00535986">
        <w:rPr>
          <w:rFonts w:asciiTheme="majorHAnsi" w:hAnsiTheme="majorHAnsi"/>
          <w:sz w:val="22"/>
          <w:szCs w:val="22"/>
        </w:rPr>
        <w:t>) один вариант голосования, соответствующий Вашему решению.</w:t>
      </w:r>
    </w:p>
    <w:p w:rsidR="00425721" w:rsidRPr="00535986" w:rsidRDefault="00425721" w:rsidP="00425721">
      <w:pPr>
        <w:jc w:val="both"/>
        <w:rPr>
          <w:rFonts w:asciiTheme="majorHAnsi" w:hAnsiTheme="majorHAnsi"/>
          <w:b/>
          <w:bCs/>
          <w:sz w:val="22"/>
          <w:szCs w:val="22"/>
        </w:rPr>
      </w:pPr>
    </w:p>
    <w:p w:rsidR="00425721" w:rsidRPr="00535986" w:rsidRDefault="00425721" w:rsidP="00425721">
      <w:pPr>
        <w:suppressAutoHyphens w:val="0"/>
        <w:jc w:val="both"/>
        <w:rPr>
          <w:rFonts w:asciiTheme="majorHAnsi" w:hAnsiTheme="majorHAnsi"/>
          <w:b/>
          <w:sz w:val="22"/>
          <w:szCs w:val="22"/>
        </w:rPr>
      </w:pPr>
      <w:r w:rsidRPr="00535986">
        <w:rPr>
          <w:rFonts w:asciiTheme="majorHAnsi" w:hAnsiTheme="majorHAnsi"/>
          <w:b/>
          <w:bCs/>
          <w:sz w:val="22"/>
          <w:szCs w:val="22"/>
        </w:rPr>
        <w:t>ВОПРОС 2.</w:t>
      </w:r>
      <w:r w:rsidRPr="00535986">
        <w:rPr>
          <w:rFonts w:asciiTheme="majorHAnsi" w:hAnsiTheme="majorHAnsi"/>
          <w:b/>
          <w:sz w:val="22"/>
          <w:szCs w:val="22"/>
        </w:rPr>
        <w:t xml:space="preserve"> </w:t>
      </w:r>
      <w:r w:rsidRPr="00535986">
        <w:rPr>
          <w:rFonts w:asciiTheme="majorHAnsi" w:hAnsiTheme="majorHAnsi"/>
          <w:b/>
          <w:bCs/>
          <w:sz w:val="22"/>
          <w:szCs w:val="22"/>
        </w:rPr>
        <w:t xml:space="preserve">О последующем одобрении крупной сделки по </w:t>
      </w:r>
      <w:r w:rsidRPr="00535986">
        <w:rPr>
          <w:rFonts w:asciiTheme="majorHAnsi" w:hAnsiTheme="majorHAnsi"/>
          <w:b/>
          <w:sz w:val="22"/>
          <w:szCs w:val="22"/>
        </w:rPr>
        <w:t xml:space="preserve"> заключению Договора 00060019/00721100/АСРМ от 26 февраля 2019г. об открытии невозобновляемой кредитной линии между АО «Мытищинская теплосеть» и ПАО Сбербанк с учётом Дополнительного соглашения №1 от 26.02.2019г.</w:t>
      </w:r>
    </w:p>
    <w:p w:rsidR="00425721" w:rsidRPr="00535986" w:rsidRDefault="00425721" w:rsidP="00425721">
      <w:pPr>
        <w:jc w:val="both"/>
        <w:rPr>
          <w:rFonts w:asciiTheme="majorHAnsi" w:hAnsiTheme="majorHAnsi"/>
          <w:b/>
          <w:color w:val="FF0000"/>
          <w:sz w:val="22"/>
          <w:szCs w:val="22"/>
        </w:rPr>
      </w:pPr>
    </w:p>
    <w:p w:rsidR="00425721" w:rsidRPr="00535986" w:rsidRDefault="00425721" w:rsidP="00425721">
      <w:pPr>
        <w:jc w:val="both"/>
        <w:rPr>
          <w:rFonts w:asciiTheme="majorHAnsi" w:hAnsiTheme="majorHAnsi"/>
          <w:sz w:val="22"/>
          <w:szCs w:val="22"/>
        </w:rPr>
      </w:pPr>
      <w:r w:rsidRPr="00535986">
        <w:rPr>
          <w:rFonts w:asciiTheme="majorHAnsi" w:hAnsiTheme="majorHAnsi"/>
          <w:b/>
          <w:sz w:val="22"/>
          <w:szCs w:val="22"/>
        </w:rPr>
        <w:t xml:space="preserve">ПРИНЯТОЕ РЕШЕНИЕ: </w:t>
      </w:r>
      <w:r w:rsidRPr="00535986">
        <w:rPr>
          <w:rFonts w:asciiTheme="majorHAnsi" w:hAnsiTheme="majorHAnsi"/>
          <w:sz w:val="22"/>
          <w:szCs w:val="22"/>
        </w:rPr>
        <w:t>На основании заключения, утвержденного Советом директоров</w:t>
      </w:r>
      <w:r w:rsidRPr="00535986">
        <w:rPr>
          <w:rFonts w:asciiTheme="majorHAnsi" w:hAnsiTheme="majorHAnsi"/>
          <w:color w:val="00B050"/>
          <w:sz w:val="22"/>
          <w:szCs w:val="22"/>
        </w:rPr>
        <w:t xml:space="preserve"> </w:t>
      </w:r>
      <w:r w:rsidRPr="00535986">
        <w:rPr>
          <w:rFonts w:asciiTheme="majorHAnsi" w:hAnsiTheme="majorHAnsi" w:cs="Cambria"/>
          <w:color w:val="00B050"/>
          <w:sz w:val="22"/>
          <w:szCs w:val="22"/>
        </w:rPr>
        <w:t xml:space="preserve"> </w:t>
      </w:r>
      <w:r w:rsidRPr="00535986">
        <w:rPr>
          <w:rFonts w:asciiTheme="majorHAnsi" w:hAnsiTheme="majorHAnsi" w:cs="Cambria"/>
          <w:sz w:val="22"/>
          <w:szCs w:val="22"/>
        </w:rPr>
        <w:t xml:space="preserve">Протокол №5 от «25» марта 2019г.) о предполагаемых последствиях для деятельности общества в результате совершения крупной сделки, </w:t>
      </w:r>
      <w:r w:rsidRPr="00535986">
        <w:rPr>
          <w:rFonts w:asciiTheme="majorHAnsi" w:hAnsiTheme="majorHAnsi"/>
          <w:sz w:val="22"/>
          <w:szCs w:val="22"/>
        </w:rPr>
        <w:t xml:space="preserve">предоставить последующее одобрение крупной сделки, </w:t>
      </w:r>
      <w:r w:rsidRPr="00535986">
        <w:rPr>
          <w:rFonts w:asciiTheme="majorHAnsi" w:hAnsiTheme="majorHAnsi" w:cs="Cambria"/>
          <w:sz w:val="22"/>
          <w:szCs w:val="22"/>
        </w:rPr>
        <w:t xml:space="preserve">предметом которой является имущество, стоимость которого составляет более 50 процентов балансовой стоимости активов общества - </w:t>
      </w:r>
      <w:r w:rsidRPr="00535986">
        <w:rPr>
          <w:rFonts w:asciiTheme="majorHAnsi" w:hAnsiTheme="majorHAnsi"/>
          <w:sz w:val="22"/>
          <w:szCs w:val="22"/>
        </w:rPr>
        <w:t>заключенный между Акционерным обществом «Мытищинская теплосеть» ОГРН 1025003513017, ИНН 5029004624  (Заемщик) и Публичным  акционерным обществом «Сбербанк России» ОГРН 1027700132195, ИНН 7707083893 (Кредитор) Договор №00060019/00721100/АСРМ от 26 февраля 2019г. об открытии невозобновляемой кредитной линии (с учётом Дополнительного соглашения №1 от 26 февраля 2019г.) на следующих условиях:</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1. Вид кредитования: невозобновляемая кредитная линия.</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2. Целевое назначение кредита:</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Пополнение оборотных средств, за исключением расчетов с АО «Теплоэнергетическое предприятие» (ИНН 5029191766) и ООО «ПроектСтройМонтаж» (ИНН 5029116737).</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3. Размер кредита – 100 000 000,00 рублей.</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4. Процентная ставка - плавающая, размер которой устанавливается исходя из размера действующей ключевой ставки Банка России (плавающая составляющая) плюс 2,3 (Две целых три десятых) процентов годовых (фиксированная маржа).</w:t>
      </w:r>
    </w:p>
    <w:p w:rsidR="00425721" w:rsidRPr="00535986" w:rsidRDefault="00425721" w:rsidP="00277DFC">
      <w:pPr>
        <w:rPr>
          <w:rFonts w:asciiTheme="majorHAnsi" w:hAnsiTheme="majorHAnsi"/>
          <w:sz w:val="22"/>
          <w:szCs w:val="22"/>
        </w:rPr>
      </w:pPr>
      <w:r w:rsidRPr="00535986">
        <w:rPr>
          <w:rFonts w:asciiTheme="majorHAnsi" w:hAnsiTheme="majorHAnsi"/>
          <w:sz w:val="22"/>
          <w:szCs w:val="22"/>
        </w:rPr>
        <w:t>В случае если ключевая ставка Банка России на дату установления процентной ставки окажется меньше 6 (Шести) процентов годовых, то она принимается равной 6  (Шести) процентам годовых.</w:t>
      </w:r>
    </w:p>
    <w:p w:rsidR="00425721" w:rsidRPr="00535986" w:rsidRDefault="00425721" w:rsidP="00277DFC">
      <w:pPr>
        <w:rPr>
          <w:rFonts w:asciiTheme="majorHAnsi" w:hAnsiTheme="majorHAnsi"/>
          <w:sz w:val="22"/>
          <w:szCs w:val="22"/>
        </w:rPr>
      </w:pPr>
      <w:r w:rsidRPr="00535986">
        <w:rPr>
          <w:rFonts w:asciiTheme="majorHAnsi" w:hAnsiTheme="majorHAnsi"/>
          <w:sz w:val="22"/>
          <w:szCs w:val="22"/>
        </w:rPr>
        <w:t>В случае если Ключевая ставка банка России на дату установления процентной ставки окажется больше 11 (Одиннадцати) процентов годовых, то она принимается равной 11 (Одиннадцати) процентам годовых.</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 xml:space="preserve">5. Срок Договора – по 20 февраля 2022г. </w:t>
      </w:r>
    </w:p>
    <w:p w:rsidR="00425721" w:rsidRPr="00535986" w:rsidRDefault="00425721" w:rsidP="00277DFC">
      <w:pPr>
        <w:rPr>
          <w:rFonts w:asciiTheme="majorHAnsi" w:hAnsiTheme="majorHAnsi"/>
          <w:iCs/>
          <w:sz w:val="22"/>
          <w:szCs w:val="22"/>
        </w:rPr>
      </w:pPr>
      <w:r w:rsidRPr="00535986">
        <w:rPr>
          <w:rFonts w:asciiTheme="majorHAnsi" w:hAnsiTheme="majorHAnsi"/>
          <w:iCs/>
          <w:sz w:val="22"/>
          <w:szCs w:val="22"/>
        </w:rPr>
        <w:t xml:space="preserve">6. </w:t>
      </w:r>
      <w:r w:rsidRPr="00535986">
        <w:rPr>
          <w:rFonts w:asciiTheme="majorHAnsi" w:hAnsiTheme="majorHAnsi"/>
          <w:bCs/>
          <w:sz w:val="22"/>
          <w:szCs w:val="22"/>
        </w:rPr>
        <w:t>Иные существенные условия Договора приведены в Приложении 3, Приложении 4, являющи</w:t>
      </w:r>
      <w:r w:rsidR="00DA064D">
        <w:rPr>
          <w:rFonts w:asciiTheme="majorHAnsi" w:hAnsiTheme="majorHAnsi"/>
          <w:bCs/>
          <w:sz w:val="22"/>
          <w:szCs w:val="22"/>
        </w:rPr>
        <w:t>х</w:t>
      </w:r>
      <w:r w:rsidRPr="00535986">
        <w:rPr>
          <w:rFonts w:asciiTheme="majorHAnsi" w:hAnsiTheme="majorHAnsi"/>
          <w:bCs/>
          <w:sz w:val="22"/>
          <w:szCs w:val="22"/>
        </w:rPr>
        <w:t>ся неотъемлемым приложением к настоящему протоколу.</w:t>
      </w:r>
    </w:p>
    <w:p w:rsidR="00425721" w:rsidRPr="00535986" w:rsidRDefault="00425721" w:rsidP="00425721">
      <w:pPr>
        <w:jc w:val="both"/>
        <w:rPr>
          <w:rFonts w:asciiTheme="majorHAnsi" w:hAnsiTheme="majorHAnsi"/>
          <w:iCs/>
          <w:sz w:val="22"/>
          <w:szCs w:val="22"/>
        </w:rPr>
      </w:pPr>
      <w:r w:rsidRPr="00535986">
        <w:rPr>
          <w:rFonts w:asciiTheme="majorHAnsi" w:hAnsiTheme="majorHAnsi"/>
          <w:iCs/>
          <w:sz w:val="22"/>
          <w:szCs w:val="22"/>
        </w:rPr>
        <w:t>Выгодоприобретатель: АО «Мытищинская теплосеть»;</w:t>
      </w:r>
    </w:p>
    <w:p w:rsidR="00425721" w:rsidRPr="00535986" w:rsidRDefault="00425721" w:rsidP="00425721">
      <w:pPr>
        <w:jc w:val="both"/>
        <w:rPr>
          <w:rFonts w:asciiTheme="majorHAnsi" w:hAnsiTheme="majorHAnsi"/>
          <w:iCs/>
          <w:sz w:val="22"/>
          <w:szCs w:val="22"/>
        </w:rPr>
      </w:pPr>
      <w:r w:rsidRPr="00535986">
        <w:rPr>
          <w:rFonts w:asciiTheme="majorHAnsi" w:hAnsiTheme="majorHAnsi"/>
          <w:iCs/>
          <w:sz w:val="22"/>
          <w:szCs w:val="22"/>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1101"/>
        <w:gridCol w:w="2581"/>
        <w:gridCol w:w="1234"/>
        <w:gridCol w:w="2748"/>
      </w:tblGrid>
      <w:tr w:rsidR="00425721" w:rsidRPr="00535986" w:rsidTr="00277DFC">
        <w:tc>
          <w:tcPr>
            <w:tcW w:w="2542" w:type="dxa"/>
          </w:tcPr>
          <w:p w:rsidR="00425721" w:rsidRPr="00535986" w:rsidRDefault="00425721" w:rsidP="00425721">
            <w:pPr>
              <w:jc w:val="center"/>
              <w:rPr>
                <w:rFonts w:asciiTheme="majorHAnsi" w:hAnsiTheme="majorHAnsi"/>
                <w:b/>
                <w:sz w:val="22"/>
                <w:szCs w:val="22"/>
              </w:rPr>
            </w:pPr>
            <w:r w:rsidRPr="00535986">
              <w:rPr>
                <w:rFonts w:asciiTheme="majorHAnsi" w:hAnsiTheme="majorHAnsi"/>
                <w:b/>
                <w:sz w:val="22"/>
                <w:szCs w:val="22"/>
              </w:rPr>
              <w:t>ЗА</w:t>
            </w:r>
          </w:p>
        </w:tc>
        <w:tc>
          <w:tcPr>
            <w:tcW w:w="1101" w:type="dxa"/>
            <w:tcBorders>
              <w:top w:val="nil"/>
              <w:left w:val="single" w:sz="4" w:space="0" w:color="auto"/>
              <w:bottom w:val="nil"/>
              <w:right w:val="single" w:sz="4" w:space="0" w:color="auto"/>
            </w:tcBorders>
          </w:tcPr>
          <w:p w:rsidR="00425721" w:rsidRPr="00535986" w:rsidRDefault="00425721" w:rsidP="00425721">
            <w:pPr>
              <w:jc w:val="center"/>
              <w:rPr>
                <w:rFonts w:asciiTheme="majorHAnsi" w:hAnsiTheme="majorHAnsi"/>
                <w:b/>
                <w:sz w:val="22"/>
                <w:szCs w:val="22"/>
              </w:rPr>
            </w:pPr>
          </w:p>
        </w:tc>
        <w:tc>
          <w:tcPr>
            <w:tcW w:w="2581" w:type="dxa"/>
            <w:tcBorders>
              <w:left w:val="single" w:sz="4" w:space="0" w:color="auto"/>
            </w:tcBorders>
          </w:tcPr>
          <w:p w:rsidR="00425721" w:rsidRPr="00535986" w:rsidRDefault="00425721" w:rsidP="00425721">
            <w:pPr>
              <w:jc w:val="center"/>
              <w:rPr>
                <w:rFonts w:asciiTheme="majorHAnsi" w:hAnsiTheme="majorHAnsi"/>
                <w:b/>
                <w:sz w:val="22"/>
                <w:szCs w:val="22"/>
              </w:rPr>
            </w:pPr>
            <w:r w:rsidRPr="00535986">
              <w:rPr>
                <w:rFonts w:asciiTheme="majorHAnsi" w:hAnsiTheme="majorHAnsi"/>
                <w:b/>
                <w:sz w:val="22"/>
                <w:szCs w:val="22"/>
              </w:rPr>
              <w:t xml:space="preserve">ПРОТИВ   </w:t>
            </w:r>
          </w:p>
        </w:tc>
        <w:tc>
          <w:tcPr>
            <w:tcW w:w="1234" w:type="dxa"/>
            <w:tcBorders>
              <w:top w:val="nil"/>
              <w:left w:val="single" w:sz="4" w:space="0" w:color="auto"/>
              <w:bottom w:val="nil"/>
              <w:right w:val="single" w:sz="4" w:space="0" w:color="auto"/>
            </w:tcBorders>
          </w:tcPr>
          <w:p w:rsidR="00425721" w:rsidRPr="00535986" w:rsidRDefault="00425721" w:rsidP="00425721">
            <w:pPr>
              <w:jc w:val="center"/>
              <w:rPr>
                <w:rFonts w:asciiTheme="majorHAnsi" w:hAnsiTheme="majorHAnsi"/>
                <w:b/>
                <w:sz w:val="22"/>
                <w:szCs w:val="22"/>
              </w:rPr>
            </w:pPr>
          </w:p>
        </w:tc>
        <w:tc>
          <w:tcPr>
            <w:tcW w:w="2748" w:type="dxa"/>
            <w:tcBorders>
              <w:left w:val="single" w:sz="4" w:space="0" w:color="auto"/>
              <w:right w:val="single" w:sz="4" w:space="0" w:color="auto"/>
            </w:tcBorders>
          </w:tcPr>
          <w:p w:rsidR="00425721" w:rsidRPr="00535986" w:rsidRDefault="00425721" w:rsidP="00425721">
            <w:pPr>
              <w:jc w:val="center"/>
              <w:rPr>
                <w:rFonts w:asciiTheme="majorHAnsi" w:hAnsiTheme="majorHAnsi"/>
                <w:b/>
                <w:sz w:val="22"/>
                <w:szCs w:val="22"/>
              </w:rPr>
            </w:pPr>
            <w:r w:rsidRPr="00535986">
              <w:rPr>
                <w:rFonts w:asciiTheme="majorHAnsi" w:hAnsiTheme="majorHAnsi"/>
                <w:b/>
                <w:sz w:val="22"/>
                <w:szCs w:val="22"/>
              </w:rPr>
              <w:t xml:space="preserve">ВОЗДЕРЖАЛСЯ  </w:t>
            </w:r>
          </w:p>
        </w:tc>
      </w:tr>
      <w:tr w:rsidR="00425721" w:rsidRPr="00535986" w:rsidTr="00277DFC">
        <w:trPr>
          <w:trHeight w:val="161"/>
        </w:trPr>
        <w:tc>
          <w:tcPr>
            <w:tcW w:w="2542" w:type="dxa"/>
          </w:tcPr>
          <w:p w:rsidR="00425721" w:rsidRPr="00535986" w:rsidRDefault="00425721" w:rsidP="00425721">
            <w:pPr>
              <w:jc w:val="both"/>
              <w:rPr>
                <w:rFonts w:asciiTheme="majorHAnsi" w:hAnsiTheme="majorHAnsi"/>
                <w:b/>
                <w:sz w:val="22"/>
                <w:szCs w:val="22"/>
                <w:u w:val="single"/>
              </w:rPr>
            </w:pPr>
          </w:p>
          <w:p w:rsidR="00425721" w:rsidRPr="00535986" w:rsidRDefault="00425721" w:rsidP="00425721">
            <w:pPr>
              <w:jc w:val="both"/>
              <w:rPr>
                <w:rFonts w:asciiTheme="majorHAnsi" w:hAnsiTheme="majorHAnsi"/>
                <w:b/>
                <w:sz w:val="22"/>
                <w:szCs w:val="22"/>
                <w:u w:val="single"/>
              </w:rPr>
            </w:pPr>
          </w:p>
        </w:tc>
        <w:tc>
          <w:tcPr>
            <w:tcW w:w="1101" w:type="dxa"/>
            <w:tcBorders>
              <w:top w:val="nil"/>
              <w:left w:val="single" w:sz="4" w:space="0" w:color="auto"/>
              <w:bottom w:val="nil"/>
              <w:right w:val="single" w:sz="4" w:space="0" w:color="auto"/>
            </w:tcBorders>
          </w:tcPr>
          <w:p w:rsidR="00425721" w:rsidRPr="00535986" w:rsidRDefault="00425721" w:rsidP="00425721">
            <w:pPr>
              <w:jc w:val="both"/>
              <w:rPr>
                <w:rFonts w:asciiTheme="majorHAnsi" w:hAnsiTheme="majorHAnsi"/>
                <w:b/>
                <w:sz w:val="22"/>
                <w:szCs w:val="22"/>
                <w:u w:val="single"/>
              </w:rPr>
            </w:pPr>
          </w:p>
        </w:tc>
        <w:tc>
          <w:tcPr>
            <w:tcW w:w="2581" w:type="dxa"/>
            <w:tcBorders>
              <w:left w:val="single" w:sz="4" w:space="0" w:color="auto"/>
            </w:tcBorders>
          </w:tcPr>
          <w:p w:rsidR="00425721" w:rsidRPr="00535986" w:rsidRDefault="00425721" w:rsidP="00425721">
            <w:pPr>
              <w:jc w:val="both"/>
              <w:rPr>
                <w:rFonts w:asciiTheme="majorHAnsi" w:hAnsiTheme="majorHAnsi"/>
                <w:b/>
                <w:sz w:val="22"/>
                <w:szCs w:val="22"/>
                <w:u w:val="single"/>
              </w:rPr>
            </w:pPr>
          </w:p>
          <w:p w:rsidR="00425721" w:rsidRPr="00535986" w:rsidRDefault="00425721" w:rsidP="00425721">
            <w:pPr>
              <w:jc w:val="both"/>
              <w:rPr>
                <w:rFonts w:asciiTheme="majorHAnsi" w:hAnsiTheme="majorHAnsi"/>
                <w:b/>
                <w:sz w:val="22"/>
                <w:szCs w:val="22"/>
                <w:u w:val="single"/>
              </w:rPr>
            </w:pPr>
          </w:p>
        </w:tc>
        <w:tc>
          <w:tcPr>
            <w:tcW w:w="1234" w:type="dxa"/>
            <w:tcBorders>
              <w:top w:val="nil"/>
              <w:left w:val="single" w:sz="4" w:space="0" w:color="auto"/>
              <w:bottom w:val="nil"/>
              <w:right w:val="single" w:sz="4" w:space="0" w:color="auto"/>
            </w:tcBorders>
          </w:tcPr>
          <w:p w:rsidR="00425721" w:rsidRPr="00535986" w:rsidRDefault="00425721" w:rsidP="00425721">
            <w:pPr>
              <w:jc w:val="both"/>
              <w:rPr>
                <w:rFonts w:asciiTheme="majorHAnsi" w:hAnsiTheme="majorHAnsi"/>
                <w:b/>
                <w:sz w:val="22"/>
                <w:szCs w:val="22"/>
                <w:u w:val="single"/>
              </w:rPr>
            </w:pPr>
          </w:p>
        </w:tc>
        <w:tc>
          <w:tcPr>
            <w:tcW w:w="2748" w:type="dxa"/>
            <w:tcBorders>
              <w:left w:val="single" w:sz="4" w:space="0" w:color="auto"/>
              <w:right w:val="single" w:sz="4" w:space="0" w:color="auto"/>
            </w:tcBorders>
          </w:tcPr>
          <w:p w:rsidR="00425721" w:rsidRPr="00535986" w:rsidRDefault="00425721" w:rsidP="00425721">
            <w:pPr>
              <w:jc w:val="both"/>
              <w:rPr>
                <w:rFonts w:asciiTheme="majorHAnsi" w:hAnsiTheme="majorHAnsi"/>
                <w:b/>
                <w:sz w:val="22"/>
                <w:szCs w:val="22"/>
                <w:u w:val="single"/>
              </w:rPr>
            </w:pPr>
          </w:p>
          <w:p w:rsidR="00425721" w:rsidRPr="00535986" w:rsidRDefault="00425721" w:rsidP="00425721">
            <w:pPr>
              <w:jc w:val="both"/>
              <w:rPr>
                <w:rFonts w:asciiTheme="majorHAnsi" w:hAnsiTheme="majorHAnsi"/>
                <w:b/>
                <w:sz w:val="22"/>
                <w:szCs w:val="22"/>
                <w:u w:val="single"/>
              </w:rPr>
            </w:pPr>
          </w:p>
        </w:tc>
      </w:tr>
    </w:tbl>
    <w:p w:rsidR="00425721" w:rsidRPr="00535986" w:rsidRDefault="00425721" w:rsidP="00425721">
      <w:pPr>
        <w:pBdr>
          <w:bottom w:val="single" w:sz="12" w:space="1" w:color="auto"/>
        </w:pBdr>
        <w:jc w:val="both"/>
        <w:rPr>
          <w:rFonts w:asciiTheme="majorHAnsi" w:hAnsiTheme="majorHAnsi"/>
          <w:sz w:val="22"/>
          <w:szCs w:val="22"/>
        </w:rPr>
      </w:pPr>
      <w:r w:rsidRPr="00535986">
        <w:rPr>
          <w:rFonts w:asciiTheme="majorHAnsi" w:hAnsiTheme="majorHAnsi"/>
          <w:b/>
          <w:sz w:val="22"/>
          <w:szCs w:val="22"/>
        </w:rPr>
        <w:t>ВНИМАНИЕ!</w:t>
      </w:r>
      <w:r w:rsidRPr="00535986">
        <w:rPr>
          <w:rFonts w:asciiTheme="majorHAnsi" w:hAnsiTheme="majorHAnsi"/>
          <w:b/>
          <w:sz w:val="22"/>
          <w:szCs w:val="22"/>
        </w:rPr>
        <w:tab/>
      </w:r>
      <w:r w:rsidRPr="00535986">
        <w:rPr>
          <w:rFonts w:asciiTheme="majorHAnsi" w:hAnsiTheme="majorHAnsi"/>
          <w:sz w:val="22"/>
          <w:szCs w:val="22"/>
        </w:rPr>
        <w:t>Выберите (</w:t>
      </w:r>
      <w:r w:rsidRPr="00535986">
        <w:rPr>
          <w:rFonts w:asciiTheme="majorHAnsi" w:hAnsiTheme="majorHAnsi"/>
          <w:b/>
          <w:sz w:val="22"/>
          <w:szCs w:val="22"/>
        </w:rPr>
        <w:t>оставьте не зачеркнутым</w:t>
      </w:r>
      <w:r w:rsidRPr="00535986">
        <w:rPr>
          <w:rFonts w:asciiTheme="majorHAnsi" w:hAnsiTheme="majorHAnsi"/>
          <w:sz w:val="22"/>
          <w:szCs w:val="22"/>
        </w:rPr>
        <w:t>) один вариант голосования, соответствующий Вашему решению .</w:t>
      </w:r>
    </w:p>
    <w:p w:rsidR="00425721" w:rsidRPr="00535986" w:rsidRDefault="00425721" w:rsidP="00425721">
      <w:pPr>
        <w:jc w:val="both"/>
        <w:rPr>
          <w:rFonts w:asciiTheme="majorHAnsi" w:hAnsiTheme="majorHAnsi"/>
          <w:sz w:val="22"/>
          <w:szCs w:val="22"/>
        </w:rPr>
      </w:pPr>
    </w:p>
    <w:p w:rsidR="00425721" w:rsidRPr="00535986" w:rsidRDefault="00425721" w:rsidP="00425721">
      <w:pPr>
        <w:rPr>
          <w:rFonts w:asciiTheme="majorHAnsi" w:hAnsiTheme="majorHAnsi"/>
          <w:b/>
          <w:sz w:val="22"/>
          <w:szCs w:val="22"/>
        </w:rPr>
      </w:pPr>
      <w:r w:rsidRPr="00535986">
        <w:rPr>
          <w:rFonts w:asciiTheme="majorHAnsi" w:hAnsiTheme="majorHAnsi"/>
          <w:b/>
          <w:bCs/>
          <w:sz w:val="22"/>
          <w:szCs w:val="22"/>
        </w:rPr>
        <w:t xml:space="preserve">ВОПРОС 3. </w:t>
      </w:r>
      <w:r w:rsidRPr="00535986">
        <w:rPr>
          <w:rFonts w:asciiTheme="majorHAnsi" w:hAnsiTheme="majorHAnsi"/>
          <w:b/>
          <w:sz w:val="22"/>
          <w:szCs w:val="22"/>
        </w:rPr>
        <w:t>Об одобрении и заключении сделок в рамках Генерального соглашения о срочных сделках на финансовых рынках №2168-</w:t>
      </w:r>
      <w:r w:rsidRPr="00535986">
        <w:rPr>
          <w:rFonts w:asciiTheme="majorHAnsi" w:hAnsiTheme="majorHAnsi"/>
          <w:b/>
          <w:sz w:val="22"/>
          <w:szCs w:val="22"/>
          <w:lang w:val="en-US"/>
        </w:rPr>
        <w:t>R</w:t>
      </w:r>
      <w:r w:rsidRPr="00535986">
        <w:rPr>
          <w:rFonts w:asciiTheme="majorHAnsi" w:hAnsiTheme="majorHAnsi"/>
          <w:b/>
          <w:sz w:val="22"/>
          <w:szCs w:val="22"/>
        </w:rPr>
        <w:t xml:space="preserve"> от 15.08.2018г. между АО «Мытищинская теплосеть»  и ПАО Сбербанк.</w:t>
      </w:r>
    </w:p>
    <w:p w:rsidR="00277DFC" w:rsidRPr="00535986" w:rsidRDefault="00277DFC" w:rsidP="00277DFC">
      <w:pPr>
        <w:rPr>
          <w:rFonts w:asciiTheme="majorHAnsi" w:hAnsiTheme="majorHAnsi"/>
          <w:b/>
          <w:sz w:val="22"/>
          <w:szCs w:val="22"/>
        </w:rPr>
      </w:pPr>
    </w:p>
    <w:p w:rsidR="00425721" w:rsidRPr="00535986" w:rsidRDefault="00425721" w:rsidP="00277DFC">
      <w:pPr>
        <w:rPr>
          <w:rFonts w:asciiTheme="majorHAnsi" w:hAnsiTheme="majorHAnsi"/>
          <w:sz w:val="22"/>
          <w:szCs w:val="22"/>
          <w:lang w:eastAsia="en-US"/>
        </w:rPr>
      </w:pPr>
      <w:r w:rsidRPr="00535986">
        <w:rPr>
          <w:rFonts w:asciiTheme="majorHAnsi" w:hAnsiTheme="majorHAnsi"/>
          <w:b/>
          <w:sz w:val="22"/>
          <w:szCs w:val="22"/>
        </w:rPr>
        <w:t xml:space="preserve">ПРИНЯТОЕ РЕШЕНИЕ: </w:t>
      </w:r>
      <w:r w:rsidRPr="00535986">
        <w:rPr>
          <w:rFonts w:asciiTheme="majorHAnsi" w:hAnsiTheme="majorHAnsi"/>
          <w:sz w:val="22"/>
          <w:szCs w:val="22"/>
          <w:lang w:eastAsia="en-US"/>
        </w:rPr>
        <w:t>Предоставить согласие на одобрение и заключение Сделки в рамках Генерального соглашения со следующими параметрами.</w:t>
      </w:r>
    </w:p>
    <w:p w:rsidR="00425721" w:rsidRPr="00535986" w:rsidRDefault="00425721" w:rsidP="00425721">
      <w:pPr>
        <w:pStyle w:val="ConsPlusNormal"/>
        <w:jc w:val="both"/>
        <w:rPr>
          <w:rFonts w:asciiTheme="majorHAnsi" w:hAnsiTheme="majorHAnsi"/>
          <w:sz w:val="22"/>
          <w:szCs w:val="22"/>
        </w:rPr>
      </w:pPr>
      <w:r w:rsidRPr="00535986">
        <w:rPr>
          <w:rFonts w:asciiTheme="majorHAnsi" w:hAnsiTheme="majorHAnsi" w:cs="Times New Roman"/>
          <w:b/>
          <w:sz w:val="22"/>
          <w:szCs w:val="22"/>
          <w:lang w:eastAsia="ar-SA"/>
        </w:rPr>
        <w:lastRenderedPageBreak/>
        <w:t>Сделка фиксации максимума процентной ставки в рамках Генерального соглашения о срочных сделках на финансовых рынках (Генеральное соглашение):</w:t>
      </w:r>
    </w:p>
    <w:p w:rsidR="00425721" w:rsidRPr="00535986" w:rsidRDefault="00425721" w:rsidP="00425721">
      <w:pPr>
        <w:adjustRightInd w:val="0"/>
        <w:jc w:val="both"/>
        <w:rPr>
          <w:rFonts w:asciiTheme="majorHAnsi" w:hAnsiTheme="majorHAnsi"/>
          <w:sz w:val="22"/>
          <w:szCs w:val="22"/>
        </w:rPr>
      </w:pPr>
      <w:r w:rsidRPr="00535986">
        <w:rPr>
          <w:rFonts w:asciiTheme="majorHAnsi" w:hAnsiTheme="majorHAnsi"/>
          <w:sz w:val="22"/>
          <w:szCs w:val="22"/>
        </w:rPr>
        <w:t>Не более 1 (Одной) «</w:t>
      </w:r>
      <w:r w:rsidRPr="00535986">
        <w:rPr>
          <w:rFonts w:asciiTheme="majorHAnsi" w:eastAsia="Calibri" w:hAnsiTheme="majorHAnsi"/>
          <w:b/>
          <w:bCs/>
          <w:sz w:val="22"/>
          <w:szCs w:val="22"/>
        </w:rPr>
        <w:t>Сделок фиксации максимума процентной ставки»</w:t>
      </w:r>
      <w:r w:rsidRPr="00535986">
        <w:rPr>
          <w:rFonts w:asciiTheme="majorHAnsi" w:hAnsiTheme="majorHAnsi"/>
          <w:sz w:val="22"/>
          <w:szCs w:val="22"/>
        </w:rPr>
        <w:t xml:space="preserve"> в рамках следующих существенных параметров, при этом параметры указаны в отношении каждой отдельной сделки, а не совокупности одобряемых сделок, и используемые понятия и термины имеют значение, предусмотренное Генеральным соглашением и Стандартными условиями конверсионных сделок, сделок валютный форвард, валютный опцион и валютный своп 2011 г, Стандартными условиями срочных сделок на процентные ставки, сделок валютно-процентный своп и сделок свопцион 2011, разработанными и утвержденными Саморегулируемой (некоммерческой) организацией «Национальная ассоциация участников фондового рынка» (НАУФОР), Национальной Валютной Ассоциацией и Ассоциацией российских банков, опубликованные в сети Интернет на страницах Саморегулируемой (некоммерческой) организации «Национальная ассоциация участников фондового рынка» (НАУФОР), Национальной Валютной Ассоциации и Ассоциации российских банков):</w:t>
      </w:r>
    </w:p>
    <w:tbl>
      <w:tblPr>
        <w:tblW w:w="0" w:type="auto"/>
        <w:tblInd w:w="108" w:type="dxa"/>
        <w:tblCellMar>
          <w:left w:w="0" w:type="dxa"/>
          <w:right w:w="0" w:type="dxa"/>
        </w:tblCellMar>
        <w:tblLook w:val="04A0"/>
      </w:tblPr>
      <w:tblGrid>
        <w:gridCol w:w="3261"/>
        <w:gridCol w:w="6945"/>
      </w:tblGrid>
      <w:tr w:rsidR="00425721" w:rsidRPr="00535986" w:rsidTr="00277DFC">
        <w:tc>
          <w:tcPr>
            <w:tcW w:w="326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ind w:firstLine="708"/>
              <w:jc w:val="both"/>
              <w:rPr>
                <w:rFonts w:asciiTheme="majorHAnsi" w:hAnsiTheme="majorHAnsi"/>
                <w:b/>
                <w:sz w:val="22"/>
                <w:szCs w:val="22"/>
                <w:lang w:val="en-AU"/>
              </w:rPr>
            </w:pPr>
            <w:r w:rsidRPr="00535986">
              <w:rPr>
                <w:rFonts w:asciiTheme="majorHAnsi" w:hAnsiTheme="majorHAnsi"/>
                <w:b/>
                <w:sz w:val="22"/>
                <w:szCs w:val="22"/>
              </w:rPr>
              <w:t>Параметр</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708"/>
              <w:jc w:val="both"/>
              <w:rPr>
                <w:rFonts w:asciiTheme="majorHAnsi" w:hAnsiTheme="majorHAnsi"/>
                <w:b/>
                <w:sz w:val="22"/>
                <w:szCs w:val="22"/>
                <w:lang w:val="en-AU"/>
              </w:rPr>
            </w:pPr>
            <w:r w:rsidRPr="00535986">
              <w:rPr>
                <w:rFonts w:asciiTheme="majorHAnsi" w:hAnsiTheme="majorHAnsi"/>
                <w:b/>
                <w:sz w:val="22"/>
                <w:szCs w:val="22"/>
              </w:rPr>
              <w:t>Значение</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Номинальная сумма и валюта</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lang w:val="en-AU"/>
              </w:rPr>
            </w:pPr>
            <w:r w:rsidRPr="00535986">
              <w:rPr>
                <w:rFonts w:asciiTheme="majorHAnsi" w:hAnsiTheme="majorHAnsi"/>
                <w:sz w:val="22"/>
                <w:szCs w:val="22"/>
              </w:rPr>
              <w:t>Не более 100 000 000,00 Рублей РФ</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Срок сделки</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lang w:val="en-AU"/>
              </w:rPr>
            </w:pPr>
            <w:r w:rsidRPr="00535986">
              <w:rPr>
                <w:rFonts w:asciiTheme="majorHAnsi" w:hAnsiTheme="majorHAnsi"/>
                <w:sz w:val="22"/>
                <w:szCs w:val="22"/>
              </w:rPr>
              <w:t>Не более 12 месяцев</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Плательщик фиксированных сумм</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lang w:val="en-AU"/>
              </w:rPr>
            </w:pPr>
            <w:r w:rsidRPr="00535986">
              <w:rPr>
                <w:rFonts w:asciiTheme="majorHAnsi" w:hAnsiTheme="majorHAnsi"/>
                <w:sz w:val="22"/>
                <w:szCs w:val="22"/>
              </w:rPr>
              <w:t>АО «Мытищинская теплосеть»</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Фиксированная сумма</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lang w:val="en-AU"/>
              </w:rPr>
            </w:pPr>
            <w:r w:rsidRPr="00535986">
              <w:rPr>
                <w:rFonts w:asciiTheme="majorHAnsi" w:hAnsiTheme="majorHAnsi"/>
                <w:sz w:val="22"/>
                <w:szCs w:val="22"/>
              </w:rPr>
              <w:t>Не более 0,40%</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Плательщик плавающей суммы</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lang w:val="en-AU"/>
              </w:rPr>
            </w:pPr>
            <w:r w:rsidRPr="00535986">
              <w:rPr>
                <w:rFonts w:asciiTheme="majorHAnsi" w:hAnsiTheme="majorHAnsi"/>
                <w:sz w:val="22"/>
                <w:szCs w:val="22"/>
              </w:rPr>
              <w:t>ПАО Сбербанк</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Способ определения плавающей ставки</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rPr>
            </w:pPr>
            <w:r w:rsidRPr="00535986">
              <w:rPr>
                <w:rFonts w:asciiTheme="majorHAnsi" w:hAnsiTheme="majorHAnsi"/>
                <w:sz w:val="22"/>
                <w:szCs w:val="22"/>
              </w:rPr>
              <w:t>Ключевая ставка ЦБ РФ</w:t>
            </w:r>
          </w:p>
          <w:p w:rsidR="00425721" w:rsidRPr="00535986" w:rsidRDefault="00425721" w:rsidP="00425721">
            <w:pPr>
              <w:adjustRightInd w:val="0"/>
              <w:ind w:firstLine="34"/>
              <w:jc w:val="both"/>
              <w:rPr>
                <w:rFonts w:asciiTheme="majorHAnsi" w:hAnsiTheme="majorHAnsi"/>
                <w:sz w:val="22"/>
                <w:szCs w:val="22"/>
              </w:rPr>
            </w:pPr>
            <w:r w:rsidRPr="00535986">
              <w:rPr>
                <w:rFonts w:asciiTheme="majorHAnsi" w:hAnsiTheme="majorHAnsi"/>
                <w:sz w:val="22"/>
                <w:szCs w:val="22"/>
              </w:rPr>
              <w:t>Ключевая ставка ЦБ РФ означает, что Плавающей ставкой для каждой даты Процентного периода является ставка по основным операциям Банка России по регулированию ликвидности банковского сектора, установленная Советом директоров Банка России и объявленная Банком России по состоянию на Дату изменения Плавающей ставки, публикуемая на главной странице сайта Банка России cbr.ru с учетом Условия окончания срока в нерабочий день – Предшествующий рабочий день;</w:t>
            </w:r>
          </w:p>
        </w:tc>
      </w:tr>
      <w:tr w:rsidR="00425721" w:rsidRPr="00535986" w:rsidTr="00277DFC">
        <w:tc>
          <w:tcPr>
            <w:tcW w:w="326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5721" w:rsidRPr="00535986" w:rsidRDefault="00425721" w:rsidP="00425721">
            <w:pPr>
              <w:adjustRightInd w:val="0"/>
              <w:jc w:val="both"/>
              <w:rPr>
                <w:rFonts w:asciiTheme="majorHAnsi" w:hAnsiTheme="majorHAnsi"/>
                <w:sz w:val="22"/>
                <w:szCs w:val="22"/>
                <w:lang w:val="en-AU"/>
              </w:rPr>
            </w:pPr>
            <w:r w:rsidRPr="00535986">
              <w:rPr>
                <w:rFonts w:asciiTheme="majorHAnsi" w:hAnsiTheme="majorHAnsi"/>
                <w:sz w:val="22"/>
                <w:szCs w:val="22"/>
              </w:rPr>
              <w:t>Максимальная ставка</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425721" w:rsidRPr="00535986" w:rsidRDefault="00425721" w:rsidP="00425721">
            <w:pPr>
              <w:adjustRightInd w:val="0"/>
              <w:ind w:firstLine="34"/>
              <w:jc w:val="both"/>
              <w:rPr>
                <w:rFonts w:asciiTheme="majorHAnsi" w:hAnsiTheme="majorHAnsi"/>
                <w:sz w:val="22"/>
                <w:szCs w:val="22"/>
                <w:lang w:val="en-AU"/>
              </w:rPr>
            </w:pPr>
            <w:r w:rsidRPr="00535986">
              <w:rPr>
                <w:rFonts w:asciiTheme="majorHAnsi" w:hAnsiTheme="majorHAnsi"/>
                <w:sz w:val="22"/>
                <w:szCs w:val="22"/>
              </w:rPr>
              <w:t>Не более 11%</w:t>
            </w:r>
          </w:p>
        </w:tc>
      </w:tr>
    </w:tbl>
    <w:p w:rsidR="00425721" w:rsidRPr="00535986" w:rsidRDefault="00425721" w:rsidP="00425721">
      <w:pPr>
        <w:adjustRightInd w:val="0"/>
        <w:ind w:firstLine="708"/>
        <w:jc w:val="both"/>
        <w:rPr>
          <w:rFonts w:asciiTheme="majorHAnsi" w:hAnsiTheme="majorHAnsi"/>
          <w:sz w:val="22"/>
          <w:szCs w:val="22"/>
        </w:rPr>
      </w:pPr>
      <w:r w:rsidRPr="00535986">
        <w:rPr>
          <w:rFonts w:asciiTheme="majorHAnsi" w:hAnsiTheme="majorHAnsi"/>
          <w:sz w:val="22"/>
          <w:szCs w:val="22"/>
        </w:rPr>
        <w:t>Любые иные условия «Сделок фиксации максимума процентной ставки» единоличный исполнительный орган Общества, лицо, осуществляющее его полномочия, и (или) лицо, им уполномоченное, вправе определять по своему усмотрению.</w:t>
      </w:r>
    </w:p>
    <w:p w:rsidR="00425721" w:rsidRPr="00535986" w:rsidRDefault="00425721" w:rsidP="00425721">
      <w:pPr>
        <w:adjustRightInd w:val="0"/>
        <w:ind w:firstLine="708"/>
        <w:jc w:val="both"/>
        <w:rPr>
          <w:rFonts w:asciiTheme="majorHAnsi" w:hAnsiTheme="majorHAnsi"/>
          <w:sz w:val="22"/>
          <w:szCs w:val="22"/>
        </w:rPr>
      </w:pPr>
      <w:r w:rsidRPr="00535986">
        <w:rPr>
          <w:rFonts w:asciiTheme="majorHAnsi" w:hAnsiTheme="majorHAnsi"/>
          <w:sz w:val="22"/>
          <w:szCs w:val="22"/>
        </w:rPr>
        <w:t xml:space="preserve">Уполномочить Генерального директора АО «Мытищинская теплосеть» подписать одобренную настоящим протоколом Сделку  и любые другие документы, необходимые для заключения и исполнения Сделки в рамках Генерального соглашения. </w:t>
      </w:r>
    </w:p>
    <w:p w:rsidR="00425721" w:rsidRPr="00535986" w:rsidRDefault="00425721" w:rsidP="00425721">
      <w:pPr>
        <w:jc w:val="both"/>
        <w:rPr>
          <w:rFonts w:asciiTheme="majorHAnsi" w:hAnsiTheme="majorHAnsi"/>
          <w:sz w:val="22"/>
          <w:szCs w:val="22"/>
        </w:rPr>
      </w:pPr>
      <w:r w:rsidRPr="00535986">
        <w:rPr>
          <w:rFonts w:asciiTheme="majorHAnsi" w:hAnsiTheme="majorHAnsi"/>
          <w:sz w:val="22"/>
          <w:szCs w:val="22"/>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1101"/>
        <w:gridCol w:w="2581"/>
        <w:gridCol w:w="1234"/>
        <w:gridCol w:w="2607"/>
      </w:tblGrid>
      <w:tr w:rsidR="00027BFD" w:rsidRPr="00535986" w:rsidTr="00277DFC">
        <w:tc>
          <w:tcPr>
            <w:tcW w:w="2542" w:type="dxa"/>
          </w:tcPr>
          <w:p w:rsidR="00027BFD" w:rsidRPr="00535986" w:rsidRDefault="00027BFD" w:rsidP="00E11E8F">
            <w:pPr>
              <w:jc w:val="center"/>
              <w:rPr>
                <w:rFonts w:asciiTheme="majorHAnsi" w:hAnsiTheme="majorHAnsi"/>
                <w:b/>
                <w:sz w:val="22"/>
                <w:szCs w:val="22"/>
              </w:rPr>
            </w:pPr>
            <w:r w:rsidRPr="00535986">
              <w:rPr>
                <w:rFonts w:asciiTheme="majorHAnsi" w:hAnsiTheme="majorHAnsi"/>
                <w:b/>
                <w:sz w:val="22"/>
                <w:szCs w:val="22"/>
              </w:rPr>
              <w:t>ЗА</w:t>
            </w:r>
          </w:p>
        </w:tc>
        <w:tc>
          <w:tcPr>
            <w:tcW w:w="1101" w:type="dxa"/>
            <w:tcBorders>
              <w:top w:val="nil"/>
              <w:left w:val="single" w:sz="4" w:space="0" w:color="auto"/>
              <w:bottom w:val="nil"/>
              <w:right w:val="single" w:sz="4" w:space="0" w:color="auto"/>
            </w:tcBorders>
          </w:tcPr>
          <w:p w:rsidR="00027BFD" w:rsidRPr="00535986" w:rsidRDefault="00027BFD" w:rsidP="00E11E8F">
            <w:pPr>
              <w:jc w:val="center"/>
              <w:rPr>
                <w:rFonts w:asciiTheme="majorHAnsi" w:hAnsiTheme="majorHAnsi"/>
                <w:b/>
                <w:sz w:val="22"/>
                <w:szCs w:val="22"/>
              </w:rPr>
            </w:pPr>
          </w:p>
        </w:tc>
        <w:tc>
          <w:tcPr>
            <w:tcW w:w="2581" w:type="dxa"/>
            <w:tcBorders>
              <w:left w:val="single" w:sz="4" w:space="0" w:color="auto"/>
            </w:tcBorders>
          </w:tcPr>
          <w:p w:rsidR="00027BFD" w:rsidRPr="00535986" w:rsidRDefault="00027BFD" w:rsidP="00E11E8F">
            <w:pPr>
              <w:jc w:val="center"/>
              <w:rPr>
                <w:rFonts w:asciiTheme="majorHAnsi" w:hAnsiTheme="majorHAnsi"/>
                <w:b/>
                <w:sz w:val="22"/>
                <w:szCs w:val="22"/>
              </w:rPr>
            </w:pPr>
            <w:r w:rsidRPr="00535986">
              <w:rPr>
                <w:rFonts w:asciiTheme="majorHAnsi" w:hAnsiTheme="majorHAnsi"/>
                <w:b/>
                <w:sz w:val="22"/>
                <w:szCs w:val="22"/>
              </w:rPr>
              <w:t xml:space="preserve">ПРОТИВ   </w:t>
            </w:r>
          </w:p>
        </w:tc>
        <w:tc>
          <w:tcPr>
            <w:tcW w:w="1234" w:type="dxa"/>
            <w:tcBorders>
              <w:top w:val="nil"/>
              <w:left w:val="single" w:sz="4" w:space="0" w:color="auto"/>
              <w:bottom w:val="nil"/>
              <w:right w:val="single" w:sz="4" w:space="0" w:color="auto"/>
            </w:tcBorders>
          </w:tcPr>
          <w:p w:rsidR="00027BFD" w:rsidRPr="00535986" w:rsidRDefault="00027BFD" w:rsidP="00E11E8F">
            <w:pPr>
              <w:jc w:val="center"/>
              <w:rPr>
                <w:rFonts w:asciiTheme="majorHAnsi" w:hAnsiTheme="majorHAnsi"/>
                <w:b/>
                <w:sz w:val="22"/>
                <w:szCs w:val="22"/>
              </w:rPr>
            </w:pPr>
          </w:p>
        </w:tc>
        <w:tc>
          <w:tcPr>
            <w:tcW w:w="2607" w:type="dxa"/>
            <w:tcBorders>
              <w:left w:val="single" w:sz="4" w:space="0" w:color="auto"/>
              <w:right w:val="single" w:sz="4" w:space="0" w:color="auto"/>
            </w:tcBorders>
          </w:tcPr>
          <w:p w:rsidR="00027BFD" w:rsidRPr="00535986" w:rsidRDefault="00027BFD" w:rsidP="00E11E8F">
            <w:pPr>
              <w:jc w:val="center"/>
              <w:rPr>
                <w:rFonts w:asciiTheme="majorHAnsi" w:hAnsiTheme="majorHAnsi"/>
                <w:b/>
                <w:sz w:val="22"/>
                <w:szCs w:val="22"/>
              </w:rPr>
            </w:pPr>
            <w:r w:rsidRPr="00535986">
              <w:rPr>
                <w:rFonts w:asciiTheme="majorHAnsi" w:hAnsiTheme="majorHAnsi"/>
                <w:b/>
                <w:sz w:val="22"/>
                <w:szCs w:val="22"/>
              </w:rPr>
              <w:t xml:space="preserve">ВОЗДЕРЖАЛСЯ  </w:t>
            </w:r>
          </w:p>
        </w:tc>
      </w:tr>
      <w:tr w:rsidR="00027BFD" w:rsidRPr="00535986" w:rsidTr="00277DFC">
        <w:trPr>
          <w:trHeight w:val="161"/>
        </w:trPr>
        <w:tc>
          <w:tcPr>
            <w:tcW w:w="2542" w:type="dxa"/>
          </w:tcPr>
          <w:p w:rsidR="00027BFD" w:rsidRPr="00535986" w:rsidRDefault="00027BFD" w:rsidP="00E11E8F">
            <w:pPr>
              <w:jc w:val="both"/>
              <w:rPr>
                <w:rFonts w:asciiTheme="majorHAnsi" w:hAnsiTheme="majorHAnsi"/>
                <w:b/>
                <w:sz w:val="22"/>
                <w:szCs w:val="22"/>
                <w:u w:val="single"/>
              </w:rPr>
            </w:pPr>
          </w:p>
          <w:p w:rsidR="00027BFD" w:rsidRPr="00535986" w:rsidRDefault="00027BFD" w:rsidP="00E11E8F">
            <w:pPr>
              <w:jc w:val="both"/>
              <w:rPr>
                <w:rFonts w:asciiTheme="majorHAnsi" w:hAnsiTheme="majorHAnsi"/>
                <w:b/>
                <w:sz w:val="22"/>
                <w:szCs w:val="22"/>
                <w:u w:val="single"/>
              </w:rPr>
            </w:pPr>
          </w:p>
        </w:tc>
        <w:tc>
          <w:tcPr>
            <w:tcW w:w="1101" w:type="dxa"/>
            <w:tcBorders>
              <w:top w:val="nil"/>
              <w:left w:val="single" w:sz="4" w:space="0" w:color="auto"/>
              <w:bottom w:val="nil"/>
              <w:right w:val="single" w:sz="4" w:space="0" w:color="auto"/>
            </w:tcBorders>
          </w:tcPr>
          <w:p w:rsidR="00027BFD" w:rsidRPr="00535986" w:rsidRDefault="00027BFD" w:rsidP="00E11E8F">
            <w:pPr>
              <w:jc w:val="both"/>
              <w:rPr>
                <w:rFonts w:asciiTheme="majorHAnsi" w:hAnsiTheme="majorHAnsi"/>
                <w:b/>
                <w:sz w:val="22"/>
                <w:szCs w:val="22"/>
                <w:u w:val="single"/>
              </w:rPr>
            </w:pPr>
          </w:p>
        </w:tc>
        <w:tc>
          <w:tcPr>
            <w:tcW w:w="2581" w:type="dxa"/>
            <w:tcBorders>
              <w:left w:val="single" w:sz="4" w:space="0" w:color="auto"/>
            </w:tcBorders>
          </w:tcPr>
          <w:p w:rsidR="00027BFD" w:rsidRPr="00535986" w:rsidRDefault="00027BFD" w:rsidP="00E11E8F">
            <w:pPr>
              <w:jc w:val="both"/>
              <w:rPr>
                <w:rFonts w:asciiTheme="majorHAnsi" w:hAnsiTheme="majorHAnsi"/>
                <w:b/>
                <w:sz w:val="22"/>
                <w:szCs w:val="22"/>
                <w:u w:val="single"/>
              </w:rPr>
            </w:pPr>
          </w:p>
          <w:p w:rsidR="00027BFD" w:rsidRPr="00535986" w:rsidRDefault="00027BFD" w:rsidP="00E11E8F">
            <w:pPr>
              <w:jc w:val="both"/>
              <w:rPr>
                <w:rFonts w:asciiTheme="majorHAnsi" w:hAnsiTheme="majorHAnsi"/>
                <w:b/>
                <w:sz w:val="22"/>
                <w:szCs w:val="22"/>
                <w:u w:val="single"/>
              </w:rPr>
            </w:pPr>
          </w:p>
        </w:tc>
        <w:tc>
          <w:tcPr>
            <w:tcW w:w="1234" w:type="dxa"/>
            <w:tcBorders>
              <w:top w:val="nil"/>
              <w:left w:val="single" w:sz="4" w:space="0" w:color="auto"/>
              <w:bottom w:val="nil"/>
              <w:right w:val="single" w:sz="4" w:space="0" w:color="auto"/>
            </w:tcBorders>
          </w:tcPr>
          <w:p w:rsidR="00027BFD" w:rsidRPr="00535986" w:rsidRDefault="00027BFD" w:rsidP="00E11E8F">
            <w:pPr>
              <w:jc w:val="both"/>
              <w:rPr>
                <w:rFonts w:asciiTheme="majorHAnsi" w:hAnsiTheme="majorHAnsi"/>
                <w:b/>
                <w:sz w:val="22"/>
                <w:szCs w:val="22"/>
                <w:u w:val="single"/>
              </w:rPr>
            </w:pPr>
          </w:p>
        </w:tc>
        <w:tc>
          <w:tcPr>
            <w:tcW w:w="2607" w:type="dxa"/>
            <w:tcBorders>
              <w:left w:val="single" w:sz="4" w:space="0" w:color="auto"/>
              <w:right w:val="single" w:sz="4" w:space="0" w:color="auto"/>
            </w:tcBorders>
          </w:tcPr>
          <w:p w:rsidR="00027BFD" w:rsidRPr="00535986" w:rsidRDefault="00027BFD" w:rsidP="00E11E8F">
            <w:pPr>
              <w:jc w:val="both"/>
              <w:rPr>
                <w:rFonts w:asciiTheme="majorHAnsi" w:hAnsiTheme="majorHAnsi"/>
                <w:b/>
                <w:sz w:val="22"/>
                <w:szCs w:val="22"/>
                <w:u w:val="single"/>
              </w:rPr>
            </w:pPr>
          </w:p>
          <w:p w:rsidR="00027BFD" w:rsidRPr="00535986" w:rsidRDefault="00027BFD" w:rsidP="00E11E8F">
            <w:pPr>
              <w:jc w:val="both"/>
              <w:rPr>
                <w:rFonts w:asciiTheme="majorHAnsi" w:hAnsiTheme="majorHAnsi"/>
                <w:b/>
                <w:sz w:val="22"/>
                <w:szCs w:val="22"/>
                <w:u w:val="single"/>
              </w:rPr>
            </w:pPr>
          </w:p>
        </w:tc>
      </w:tr>
    </w:tbl>
    <w:p w:rsidR="00027BFD" w:rsidRPr="00535986" w:rsidRDefault="00027BFD" w:rsidP="00027BFD">
      <w:pPr>
        <w:pBdr>
          <w:bottom w:val="single" w:sz="12" w:space="1" w:color="auto"/>
        </w:pBdr>
        <w:jc w:val="both"/>
        <w:rPr>
          <w:rFonts w:asciiTheme="majorHAnsi" w:hAnsiTheme="majorHAnsi"/>
          <w:sz w:val="22"/>
          <w:szCs w:val="22"/>
        </w:rPr>
      </w:pPr>
      <w:r w:rsidRPr="00535986">
        <w:rPr>
          <w:rFonts w:asciiTheme="majorHAnsi" w:hAnsiTheme="majorHAnsi"/>
          <w:b/>
          <w:sz w:val="22"/>
          <w:szCs w:val="22"/>
        </w:rPr>
        <w:t>ВНИМАНИЕ!</w:t>
      </w:r>
      <w:r w:rsidRPr="00535986">
        <w:rPr>
          <w:rFonts w:asciiTheme="majorHAnsi" w:hAnsiTheme="majorHAnsi"/>
          <w:b/>
          <w:sz w:val="22"/>
          <w:szCs w:val="22"/>
        </w:rPr>
        <w:tab/>
      </w:r>
      <w:r w:rsidRPr="00535986">
        <w:rPr>
          <w:rFonts w:asciiTheme="majorHAnsi" w:hAnsiTheme="majorHAnsi"/>
          <w:sz w:val="22"/>
          <w:szCs w:val="22"/>
        </w:rPr>
        <w:t>Выберите (</w:t>
      </w:r>
      <w:r w:rsidRPr="00535986">
        <w:rPr>
          <w:rFonts w:asciiTheme="majorHAnsi" w:hAnsiTheme="majorHAnsi"/>
          <w:b/>
          <w:sz w:val="22"/>
          <w:szCs w:val="22"/>
        </w:rPr>
        <w:t>оставьте не зачеркнутым</w:t>
      </w:r>
      <w:r w:rsidRPr="00535986">
        <w:rPr>
          <w:rFonts w:asciiTheme="majorHAnsi" w:hAnsiTheme="majorHAnsi"/>
          <w:sz w:val="22"/>
          <w:szCs w:val="22"/>
        </w:rPr>
        <w:t>) один вариант голосования, соответствующий Вашему решению .</w:t>
      </w:r>
    </w:p>
    <w:p w:rsidR="00027BFD" w:rsidRPr="00535986" w:rsidRDefault="00027BFD" w:rsidP="00027BFD">
      <w:pPr>
        <w:jc w:val="both"/>
        <w:rPr>
          <w:rFonts w:asciiTheme="majorHAnsi" w:hAnsiTheme="majorHAnsi"/>
          <w:sz w:val="22"/>
          <w:szCs w:val="22"/>
        </w:rPr>
      </w:pPr>
    </w:p>
    <w:p w:rsidR="00425721" w:rsidRPr="00535986" w:rsidRDefault="00425721" w:rsidP="00425721">
      <w:pPr>
        <w:pStyle w:val="21"/>
        <w:spacing w:after="0" w:line="240" w:lineRule="auto"/>
        <w:ind w:left="0" w:firstLine="0"/>
        <w:rPr>
          <w:rFonts w:asciiTheme="majorHAnsi" w:hAnsiTheme="majorHAnsi"/>
          <w:b/>
          <w:sz w:val="22"/>
          <w:szCs w:val="22"/>
          <w:u w:val="single"/>
        </w:rPr>
      </w:pPr>
    </w:p>
    <w:p w:rsidR="00425721" w:rsidRPr="00535986" w:rsidRDefault="00425721" w:rsidP="00425721">
      <w:pPr>
        <w:pStyle w:val="21"/>
        <w:spacing w:after="0" w:line="240" w:lineRule="auto"/>
        <w:ind w:left="0" w:firstLine="0"/>
        <w:rPr>
          <w:rFonts w:asciiTheme="majorHAnsi" w:hAnsiTheme="majorHAnsi"/>
          <w:b/>
          <w:sz w:val="22"/>
          <w:szCs w:val="22"/>
        </w:rPr>
      </w:pPr>
      <w:r w:rsidRPr="00535986">
        <w:rPr>
          <w:rFonts w:asciiTheme="majorHAnsi" w:hAnsiTheme="majorHAnsi"/>
          <w:b/>
          <w:sz w:val="22"/>
          <w:szCs w:val="22"/>
          <w:u w:val="single"/>
        </w:rPr>
        <w:t xml:space="preserve">Подпись голосующего        </w:t>
      </w:r>
      <w:r w:rsidR="00277DFC" w:rsidRPr="00535986">
        <w:rPr>
          <w:rFonts w:asciiTheme="majorHAnsi" w:hAnsiTheme="majorHAnsi"/>
          <w:b/>
          <w:sz w:val="22"/>
          <w:szCs w:val="22"/>
          <w:u w:val="single"/>
        </w:rPr>
        <w:t>__</w:t>
      </w:r>
      <w:r w:rsidRPr="00535986">
        <w:rPr>
          <w:rFonts w:asciiTheme="majorHAnsi" w:hAnsiTheme="majorHAnsi"/>
          <w:b/>
          <w:sz w:val="22"/>
          <w:szCs w:val="22"/>
          <w:u w:val="single"/>
        </w:rPr>
        <w:t>_   _____</w:t>
      </w:r>
      <w:r w:rsidR="003572FD">
        <w:rPr>
          <w:rFonts w:asciiTheme="majorHAnsi" w:hAnsiTheme="majorHAnsi"/>
          <w:b/>
          <w:sz w:val="22"/>
          <w:szCs w:val="22"/>
          <w:u w:val="single"/>
        </w:rPr>
        <w:t>______</w:t>
      </w:r>
      <w:r w:rsidRPr="00535986">
        <w:rPr>
          <w:rFonts w:asciiTheme="majorHAnsi" w:hAnsiTheme="majorHAnsi"/>
          <w:b/>
          <w:sz w:val="22"/>
          <w:szCs w:val="22"/>
          <w:u w:val="single"/>
        </w:rPr>
        <w:t xml:space="preserve">    </w:t>
      </w:r>
      <w:r w:rsidRPr="00535986">
        <w:rPr>
          <w:rFonts w:asciiTheme="majorHAnsi" w:hAnsiTheme="majorHAnsi"/>
          <w:b/>
          <w:sz w:val="22"/>
          <w:szCs w:val="22"/>
        </w:rPr>
        <w:t>(______________________________________________________________)</w:t>
      </w:r>
    </w:p>
    <w:p w:rsidR="00425721" w:rsidRPr="003572FD" w:rsidRDefault="00425721" w:rsidP="00425721">
      <w:pPr>
        <w:pStyle w:val="21"/>
        <w:spacing w:after="0" w:line="240" w:lineRule="auto"/>
        <w:ind w:left="0" w:firstLine="0"/>
        <w:rPr>
          <w:rFonts w:asciiTheme="majorHAnsi" w:hAnsiTheme="majorHAnsi"/>
          <w:sz w:val="20"/>
          <w:szCs w:val="20"/>
        </w:rPr>
      </w:pPr>
      <w:r w:rsidRPr="003572FD">
        <w:rPr>
          <w:rFonts w:asciiTheme="majorHAnsi" w:hAnsiTheme="majorHAnsi"/>
          <w:sz w:val="20"/>
          <w:szCs w:val="20"/>
        </w:rPr>
        <w:t xml:space="preserve">(законного представителя)  </w:t>
      </w:r>
      <w:r w:rsidR="00277DFC" w:rsidRPr="003572FD">
        <w:rPr>
          <w:rFonts w:asciiTheme="majorHAnsi" w:hAnsiTheme="majorHAnsi"/>
          <w:sz w:val="20"/>
          <w:szCs w:val="20"/>
        </w:rPr>
        <w:t xml:space="preserve">      </w:t>
      </w:r>
      <w:r w:rsidRPr="003572FD">
        <w:rPr>
          <w:rFonts w:asciiTheme="majorHAnsi" w:hAnsiTheme="majorHAnsi"/>
          <w:sz w:val="20"/>
          <w:szCs w:val="20"/>
        </w:rPr>
        <w:t xml:space="preserve">   (подпись)                                                    (Фамилия ИО)</w:t>
      </w:r>
    </w:p>
    <w:p w:rsidR="00425721" w:rsidRPr="00535986" w:rsidRDefault="00425721" w:rsidP="00425721">
      <w:pPr>
        <w:jc w:val="both"/>
        <w:rPr>
          <w:rFonts w:asciiTheme="majorHAnsi" w:hAnsiTheme="majorHAnsi"/>
          <w:b/>
          <w:bCs/>
          <w:sz w:val="22"/>
          <w:szCs w:val="22"/>
        </w:rPr>
      </w:pPr>
    </w:p>
    <w:p w:rsidR="00425721" w:rsidRPr="00535986" w:rsidRDefault="00425721" w:rsidP="00425721">
      <w:pPr>
        <w:jc w:val="both"/>
        <w:rPr>
          <w:rFonts w:asciiTheme="majorHAnsi" w:hAnsiTheme="majorHAnsi"/>
          <w:b/>
          <w:bCs/>
          <w:sz w:val="22"/>
          <w:szCs w:val="22"/>
        </w:rPr>
      </w:pPr>
    </w:p>
    <w:p w:rsidR="00425721" w:rsidRPr="00535986" w:rsidRDefault="00425721" w:rsidP="00425721">
      <w:pPr>
        <w:jc w:val="both"/>
        <w:rPr>
          <w:rFonts w:asciiTheme="majorHAnsi" w:hAnsiTheme="majorHAnsi"/>
          <w:b/>
          <w:bCs/>
          <w:sz w:val="22"/>
          <w:szCs w:val="22"/>
        </w:rPr>
      </w:pPr>
      <w:r w:rsidRPr="00535986">
        <w:rPr>
          <w:rFonts w:asciiTheme="majorHAnsi" w:hAnsiTheme="majorHAnsi"/>
          <w:b/>
          <w:bCs/>
          <w:sz w:val="22"/>
          <w:szCs w:val="22"/>
        </w:rPr>
        <w:t>Доверенность от «_____» ________________ 20_____г.     №__________________________</w:t>
      </w:r>
    </w:p>
    <w:p w:rsidR="00425721" w:rsidRPr="00535986" w:rsidRDefault="00425721" w:rsidP="00425721">
      <w:pPr>
        <w:jc w:val="center"/>
        <w:rPr>
          <w:rFonts w:asciiTheme="majorHAnsi" w:hAnsiTheme="majorHAnsi"/>
          <w:bCs/>
          <w:sz w:val="22"/>
          <w:szCs w:val="22"/>
        </w:rPr>
      </w:pPr>
      <w:r w:rsidRPr="00535986">
        <w:rPr>
          <w:rFonts w:asciiTheme="majorHAnsi" w:hAnsiTheme="majorHAnsi"/>
          <w:bCs/>
          <w:sz w:val="22"/>
          <w:szCs w:val="22"/>
        </w:rPr>
        <w:t>(заполняется в случае голосования по доверенности)</w:t>
      </w:r>
    </w:p>
    <w:p w:rsidR="00425721" w:rsidRPr="00535986" w:rsidRDefault="00425721" w:rsidP="00425721">
      <w:pPr>
        <w:jc w:val="center"/>
        <w:rPr>
          <w:rFonts w:asciiTheme="majorHAnsi" w:hAnsiTheme="majorHAnsi"/>
          <w:b/>
          <w:bCs/>
          <w:sz w:val="22"/>
          <w:szCs w:val="22"/>
        </w:rPr>
      </w:pPr>
    </w:p>
    <w:p w:rsidR="00425721" w:rsidRDefault="00425721" w:rsidP="00425721">
      <w:pPr>
        <w:jc w:val="center"/>
        <w:rPr>
          <w:rFonts w:asciiTheme="majorHAnsi" w:hAnsiTheme="majorHAnsi"/>
          <w:b/>
          <w:bCs/>
          <w:sz w:val="22"/>
          <w:szCs w:val="22"/>
          <w:u w:val="single"/>
        </w:rPr>
      </w:pPr>
      <w:r w:rsidRPr="00535986">
        <w:rPr>
          <w:rFonts w:asciiTheme="majorHAnsi" w:hAnsiTheme="majorHAnsi"/>
          <w:b/>
          <w:bCs/>
          <w:sz w:val="22"/>
          <w:szCs w:val="22"/>
        </w:rPr>
        <w:t xml:space="preserve">ВНИМАНИЕ!  </w:t>
      </w:r>
      <w:r w:rsidRPr="00535986">
        <w:rPr>
          <w:rFonts w:asciiTheme="majorHAnsi" w:hAnsiTheme="majorHAnsi"/>
          <w:b/>
          <w:bCs/>
          <w:sz w:val="22"/>
          <w:szCs w:val="22"/>
          <w:u w:val="single"/>
        </w:rPr>
        <w:t>Бюллетень для голосования должен быть подписан голосующим лицом</w:t>
      </w:r>
    </w:p>
    <w:p w:rsidR="003572FD" w:rsidRPr="00535986" w:rsidRDefault="003572FD" w:rsidP="00425721">
      <w:pPr>
        <w:jc w:val="center"/>
        <w:rPr>
          <w:rFonts w:asciiTheme="majorHAnsi" w:hAnsiTheme="majorHAnsi"/>
          <w:b/>
          <w:bCs/>
          <w:sz w:val="22"/>
          <w:szCs w:val="22"/>
          <w:u w:val="single"/>
        </w:rPr>
      </w:pPr>
    </w:p>
    <w:p w:rsidR="00425721" w:rsidRPr="00535986" w:rsidRDefault="00425721" w:rsidP="00425721">
      <w:pPr>
        <w:jc w:val="center"/>
        <w:rPr>
          <w:rFonts w:asciiTheme="majorHAnsi" w:hAnsiTheme="majorHAnsi"/>
          <w:b/>
          <w:bCs/>
          <w:sz w:val="22"/>
          <w:szCs w:val="22"/>
        </w:rPr>
      </w:pPr>
      <w:r w:rsidRPr="00535986">
        <w:rPr>
          <w:rFonts w:asciiTheme="majorHAnsi" w:hAnsiTheme="majorHAnsi"/>
          <w:b/>
          <w:bCs/>
          <w:sz w:val="22"/>
          <w:szCs w:val="22"/>
        </w:rPr>
        <w:t>НЕ ПОДПИСАННЫЙ БЮЛЛЕТЕНЬ БУДЕТ ПРИЗНАН НЕДЕЙСТВИТЕЛЬНЫМ</w:t>
      </w:r>
    </w:p>
    <w:p w:rsidR="00425721" w:rsidRPr="00535986" w:rsidRDefault="00425721" w:rsidP="00425721">
      <w:pPr>
        <w:jc w:val="center"/>
        <w:rPr>
          <w:rFonts w:asciiTheme="majorHAnsi" w:hAnsiTheme="majorHAnsi"/>
          <w:b/>
          <w:bCs/>
          <w:sz w:val="22"/>
          <w:szCs w:val="22"/>
        </w:rPr>
      </w:pPr>
    </w:p>
    <w:p w:rsidR="00425721" w:rsidRPr="00535986" w:rsidRDefault="00425721" w:rsidP="00425721">
      <w:pPr>
        <w:jc w:val="center"/>
        <w:rPr>
          <w:rFonts w:asciiTheme="majorHAnsi" w:hAnsiTheme="majorHAnsi"/>
          <w:b/>
          <w:bCs/>
          <w:sz w:val="20"/>
          <w:szCs w:val="20"/>
        </w:rPr>
      </w:pPr>
    </w:p>
    <w:tbl>
      <w:tblPr>
        <w:tblW w:w="5000" w:type="pct"/>
        <w:tblBorders>
          <w:left w:val="single" w:sz="6" w:space="0" w:color="auto"/>
          <w:insideV w:val="double" w:sz="12" w:space="0" w:color="auto"/>
        </w:tblBorders>
        <w:tblLayout w:type="fixed"/>
        <w:tblLook w:val="0000"/>
      </w:tblPr>
      <w:tblGrid>
        <w:gridCol w:w="311"/>
        <w:gridCol w:w="427"/>
        <w:gridCol w:w="9683"/>
      </w:tblGrid>
      <w:tr w:rsidR="00425721" w:rsidRPr="00535986" w:rsidTr="00E11E8F">
        <w:trPr>
          <w:cantSplit/>
          <w:trHeight w:val="850"/>
        </w:trPr>
        <w:tc>
          <w:tcPr>
            <w:tcW w:w="10421" w:type="dxa"/>
            <w:gridSpan w:val="3"/>
            <w:tcBorders>
              <w:top w:val="single" w:sz="12" w:space="0" w:color="auto"/>
              <w:left w:val="single" w:sz="12" w:space="0" w:color="auto"/>
              <w:bottom w:val="nil"/>
              <w:right w:val="single" w:sz="12" w:space="0" w:color="auto"/>
            </w:tcBorders>
          </w:tcPr>
          <w:p w:rsidR="00425721" w:rsidRPr="00535986" w:rsidRDefault="00425721" w:rsidP="00425721">
            <w:pPr>
              <w:jc w:val="both"/>
              <w:rPr>
                <w:rFonts w:asciiTheme="majorHAnsi" w:hAnsiTheme="majorHAnsi"/>
                <w:sz w:val="20"/>
                <w:szCs w:val="20"/>
              </w:rPr>
            </w:pPr>
            <w:r w:rsidRPr="00535986">
              <w:rPr>
                <w:rFonts w:asciiTheme="majorHAnsi" w:hAnsiTheme="majorHAnsi"/>
                <w:sz w:val="20"/>
                <w:szCs w:val="20"/>
              </w:rPr>
              <w:t>1. В случае если голосование осуществляется по доверенности, выданной в отношении акций, переданных после даты составления списка лиц, имеющих право на участие в собрании, в поле под выбранным (не зачеркнутым) вариантом голосования укажите количество голосов, отданных за выбранный вариант и, сделайте отметку о причинах заполнения поля:</w:t>
            </w:r>
          </w:p>
        </w:tc>
      </w:tr>
      <w:tr w:rsidR="00425721" w:rsidRPr="00535986" w:rsidTr="00E11E8F">
        <w:trPr>
          <w:cantSplit/>
          <w:trHeight w:val="246"/>
        </w:trPr>
        <w:tc>
          <w:tcPr>
            <w:tcW w:w="311" w:type="dxa"/>
            <w:tcBorders>
              <w:top w:val="nil"/>
              <w:left w:val="single" w:sz="12" w:space="0" w:color="auto"/>
              <w:right w:val="single" w:sz="12" w:space="0" w:color="auto"/>
            </w:tcBorders>
          </w:tcPr>
          <w:p w:rsidR="00425721" w:rsidRPr="00535986" w:rsidRDefault="00425721" w:rsidP="00425721">
            <w:pPr>
              <w:ind w:right="54" w:firstLine="18"/>
              <w:jc w:val="both"/>
              <w:rPr>
                <w:rFonts w:asciiTheme="majorHAnsi" w:hAnsiTheme="majorHAnsi"/>
                <w:i/>
                <w:noProof/>
                <w:sz w:val="20"/>
                <w:szCs w:val="20"/>
              </w:rPr>
            </w:pPr>
          </w:p>
        </w:tc>
        <w:tc>
          <w:tcPr>
            <w:tcW w:w="427" w:type="dxa"/>
            <w:tcBorders>
              <w:top w:val="single" w:sz="12" w:space="0" w:color="auto"/>
              <w:left w:val="single" w:sz="12" w:space="0" w:color="auto"/>
              <w:bottom w:val="single" w:sz="12" w:space="0" w:color="auto"/>
              <w:right w:val="single" w:sz="12" w:space="0" w:color="auto"/>
            </w:tcBorders>
          </w:tcPr>
          <w:p w:rsidR="00425721" w:rsidRPr="00535986" w:rsidRDefault="00425721" w:rsidP="00425721">
            <w:pPr>
              <w:ind w:right="54" w:firstLine="18"/>
              <w:jc w:val="both"/>
              <w:rPr>
                <w:rFonts w:asciiTheme="majorHAnsi" w:hAnsiTheme="majorHAnsi"/>
                <w:noProof/>
                <w:sz w:val="20"/>
                <w:szCs w:val="20"/>
              </w:rPr>
            </w:pPr>
          </w:p>
        </w:tc>
        <w:tc>
          <w:tcPr>
            <w:tcW w:w="9683" w:type="dxa"/>
            <w:tcBorders>
              <w:top w:val="nil"/>
              <w:left w:val="single" w:sz="12" w:space="0" w:color="auto"/>
              <w:right w:val="single" w:sz="12" w:space="0" w:color="auto"/>
            </w:tcBorders>
            <w:vAlign w:val="center"/>
          </w:tcPr>
          <w:p w:rsidR="00425721" w:rsidRPr="00535986" w:rsidRDefault="00425721" w:rsidP="00425721">
            <w:pPr>
              <w:ind w:left="57" w:right="57"/>
              <w:jc w:val="both"/>
              <w:rPr>
                <w:rFonts w:asciiTheme="majorHAnsi" w:hAnsiTheme="majorHAnsi"/>
                <w:spacing w:val="-10"/>
                <w:sz w:val="20"/>
                <w:szCs w:val="20"/>
              </w:rPr>
            </w:pPr>
            <w:r w:rsidRPr="00535986">
              <w:rPr>
                <w:rFonts w:asciiTheme="majorHAnsi" w:hAnsiTheme="majorHAnsi"/>
                <w:sz w:val="20"/>
                <w:szCs w:val="20"/>
              </w:rPr>
              <w:t>- голосование по доверенности, выданной в отношении акций, переданных после даты составления Списка.</w:t>
            </w:r>
          </w:p>
        </w:tc>
      </w:tr>
      <w:tr w:rsidR="00425721" w:rsidRPr="00535986" w:rsidTr="00E11E8F">
        <w:trPr>
          <w:cantSplit/>
        </w:trPr>
        <w:tc>
          <w:tcPr>
            <w:tcW w:w="10421" w:type="dxa"/>
            <w:gridSpan w:val="3"/>
            <w:tcBorders>
              <w:top w:val="nil"/>
              <w:left w:val="single" w:sz="12" w:space="0" w:color="auto"/>
              <w:bottom w:val="nil"/>
              <w:right w:val="single" w:sz="12" w:space="0" w:color="auto"/>
            </w:tcBorders>
          </w:tcPr>
          <w:p w:rsidR="00425721" w:rsidRPr="00535986" w:rsidRDefault="00425721" w:rsidP="00425721">
            <w:pPr>
              <w:ind w:right="57"/>
              <w:jc w:val="both"/>
              <w:rPr>
                <w:rFonts w:asciiTheme="majorHAnsi" w:hAnsiTheme="majorHAnsi"/>
                <w:i/>
                <w:noProof/>
                <w:sz w:val="20"/>
                <w:szCs w:val="20"/>
              </w:rPr>
            </w:pPr>
            <w:r w:rsidRPr="00535986">
              <w:rPr>
                <w:rFonts w:asciiTheme="majorHAnsi" w:hAnsiTheme="majorHAnsi"/>
                <w:sz w:val="20"/>
                <w:szCs w:val="20"/>
              </w:rPr>
              <w:t>2. В случае если после даты составления Списка переданы не все акции, в поле под выбранным (не зачеркнутым) вариантом голосования укажите количество голосов, отданных за выбранный вариант и, сделайте отметку о причинах заполнения поля. Если в отношении акций, переданных после даты составления Списка, получены указания приобретателей таких акций, совпадающие с оставленным вариантом голосования, такие голоса суммируются:</w:t>
            </w:r>
          </w:p>
        </w:tc>
      </w:tr>
      <w:tr w:rsidR="00425721" w:rsidRPr="00535986" w:rsidTr="00E11E8F">
        <w:trPr>
          <w:cantSplit/>
        </w:trPr>
        <w:tc>
          <w:tcPr>
            <w:tcW w:w="311" w:type="dxa"/>
            <w:tcBorders>
              <w:top w:val="nil"/>
              <w:left w:val="single" w:sz="12" w:space="0" w:color="auto"/>
              <w:bottom w:val="nil"/>
              <w:right w:val="single" w:sz="12" w:space="0" w:color="auto"/>
            </w:tcBorders>
          </w:tcPr>
          <w:p w:rsidR="00425721" w:rsidRPr="00535986" w:rsidRDefault="00425721" w:rsidP="00425721">
            <w:pPr>
              <w:ind w:right="54" w:firstLine="18"/>
              <w:jc w:val="both"/>
              <w:rPr>
                <w:rFonts w:asciiTheme="majorHAnsi" w:hAnsiTheme="majorHAnsi"/>
                <w:i/>
                <w:noProof/>
                <w:sz w:val="20"/>
                <w:szCs w:val="20"/>
              </w:rPr>
            </w:pPr>
          </w:p>
        </w:tc>
        <w:tc>
          <w:tcPr>
            <w:tcW w:w="427" w:type="dxa"/>
            <w:tcBorders>
              <w:top w:val="single" w:sz="12" w:space="0" w:color="auto"/>
              <w:left w:val="single" w:sz="12" w:space="0" w:color="auto"/>
              <w:bottom w:val="single" w:sz="12" w:space="0" w:color="auto"/>
              <w:right w:val="single" w:sz="12" w:space="0" w:color="auto"/>
            </w:tcBorders>
          </w:tcPr>
          <w:p w:rsidR="00425721" w:rsidRPr="00535986" w:rsidRDefault="00425721" w:rsidP="00425721">
            <w:pPr>
              <w:ind w:right="54" w:firstLine="18"/>
              <w:jc w:val="both"/>
              <w:rPr>
                <w:rFonts w:asciiTheme="majorHAnsi" w:hAnsiTheme="majorHAnsi"/>
                <w:noProof/>
                <w:sz w:val="20"/>
                <w:szCs w:val="20"/>
              </w:rPr>
            </w:pPr>
          </w:p>
          <w:p w:rsidR="00425721" w:rsidRPr="00535986" w:rsidRDefault="00425721" w:rsidP="00425721">
            <w:pPr>
              <w:ind w:right="54" w:firstLine="18"/>
              <w:jc w:val="both"/>
              <w:rPr>
                <w:rFonts w:asciiTheme="majorHAnsi" w:hAnsiTheme="majorHAnsi"/>
                <w:noProof/>
                <w:sz w:val="20"/>
                <w:szCs w:val="20"/>
              </w:rPr>
            </w:pPr>
          </w:p>
        </w:tc>
        <w:tc>
          <w:tcPr>
            <w:tcW w:w="9683" w:type="dxa"/>
            <w:tcBorders>
              <w:top w:val="nil"/>
              <w:left w:val="single" w:sz="12" w:space="0" w:color="auto"/>
              <w:bottom w:val="nil"/>
              <w:right w:val="single" w:sz="12" w:space="0" w:color="auto"/>
            </w:tcBorders>
            <w:vAlign w:val="center"/>
          </w:tcPr>
          <w:p w:rsidR="00425721" w:rsidRPr="00535986" w:rsidRDefault="00425721" w:rsidP="00425721">
            <w:pPr>
              <w:ind w:left="57" w:right="54"/>
              <w:jc w:val="both"/>
              <w:rPr>
                <w:rFonts w:asciiTheme="majorHAnsi" w:hAnsiTheme="majorHAnsi"/>
                <w:spacing w:val="-10"/>
                <w:sz w:val="20"/>
                <w:szCs w:val="20"/>
              </w:rPr>
            </w:pPr>
            <w:r w:rsidRPr="00535986">
              <w:rPr>
                <w:rFonts w:asciiTheme="majorHAnsi" w:hAnsiTheme="majorHAnsi"/>
                <w:sz w:val="20"/>
                <w:szCs w:val="20"/>
              </w:rPr>
              <w:t>- часть акций передана после даты составления Списка.</w:t>
            </w:r>
          </w:p>
        </w:tc>
      </w:tr>
      <w:tr w:rsidR="00425721" w:rsidRPr="00535986" w:rsidTr="00E11E8F">
        <w:trPr>
          <w:cantSplit/>
        </w:trPr>
        <w:tc>
          <w:tcPr>
            <w:tcW w:w="10421" w:type="dxa"/>
            <w:gridSpan w:val="3"/>
            <w:tcBorders>
              <w:top w:val="nil"/>
              <w:left w:val="single" w:sz="12" w:space="0" w:color="auto"/>
              <w:bottom w:val="nil"/>
              <w:right w:val="single" w:sz="12" w:space="0" w:color="auto"/>
            </w:tcBorders>
          </w:tcPr>
          <w:p w:rsidR="00425721" w:rsidRPr="00535986" w:rsidRDefault="00425721" w:rsidP="00425721">
            <w:pPr>
              <w:ind w:right="57"/>
              <w:jc w:val="both"/>
              <w:rPr>
                <w:rFonts w:asciiTheme="majorHAnsi" w:hAnsiTheme="majorHAnsi"/>
                <w:noProof/>
                <w:sz w:val="20"/>
                <w:szCs w:val="20"/>
              </w:rPr>
            </w:pPr>
            <w:r w:rsidRPr="00535986">
              <w:rPr>
                <w:rFonts w:asciiTheme="majorHAnsi" w:hAnsiTheme="majorHAnsi"/>
                <w:sz w:val="20"/>
                <w:szCs w:val="20"/>
              </w:rPr>
              <w:t>3. В случае если голосование осуществляется в соответствии с указаниями лиц, которые приобрели акции после даты составления Списка, или в соответствии с указаниями владельцев депозитарных ценных бумаг, укажите количество голосов, отданных за каждый вариант голосования в полях под выбранными вариантами голосования и, сделайте отметку о причинах заполнения поля:</w:t>
            </w:r>
          </w:p>
        </w:tc>
      </w:tr>
      <w:tr w:rsidR="00425721" w:rsidRPr="00535986" w:rsidTr="00E11E8F">
        <w:trPr>
          <w:cantSplit/>
        </w:trPr>
        <w:tc>
          <w:tcPr>
            <w:tcW w:w="311" w:type="dxa"/>
            <w:vMerge w:val="restart"/>
            <w:tcBorders>
              <w:top w:val="nil"/>
              <w:left w:val="single" w:sz="12" w:space="0" w:color="auto"/>
              <w:bottom w:val="single" w:sz="12" w:space="0" w:color="auto"/>
              <w:right w:val="single" w:sz="12" w:space="0" w:color="auto"/>
            </w:tcBorders>
          </w:tcPr>
          <w:p w:rsidR="00425721" w:rsidRPr="00535986" w:rsidRDefault="00425721" w:rsidP="00425721">
            <w:pPr>
              <w:ind w:right="54" w:firstLine="18"/>
              <w:jc w:val="both"/>
              <w:rPr>
                <w:rFonts w:asciiTheme="majorHAnsi" w:hAnsiTheme="majorHAnsi"/>
                <w:noProof/>
                <w:sz w:val="20"/>
                <w:szCs w:val="20"/>
              </w:rPr>
            </w:pPr>
          </w:p>
        </w:tc>
        <w:tc>
          <w:tcPr>
            <w:tcW w:w="427" w:type="dxa"/>
            <w:tcBorders>
              <w:top w:val="single" w:sz="12" w:space="0" w:color="auto"/>
              <w:left w:val="single" w:sz="12" w:space="0" w:color="auto"/>
              <w:bottom w:val="single" w:sz="12" w:space="0" w:color="auto"/>
              <w:right w:val="single" w:sz="12" w:space="0" w:color="auto"/>
            </w:tcBorders>
          </w:tcPr>
          <w:p w:rsidR="00425721" w:rsidRPr="00535986" w:rsidRDefault="00425721" w:rsidP="00425721">
            <w:pPr>
              <w:ind w:right="54" w:firstLine="18"/>
              <w:jc w:val="both"/>
              <w:rPr>
                <w:rFonts w:asciiTheme="majorHAnsi" w:hAnsiTheme="majorHAnsi"/>
                <w:noProof/>
                <w:sz w:val="20"/>
                <w:szCs w:val="20"/>
              </w:rPr>
            </w:pPr>
          </w:p>
          <w:p w:rsidR="00425721" w:rsidRPr="00535986" w:rsidRDefault="00425721" w:rsidP="00425721">
            <w:pPr>
              <w:ind w:right="54" w:firstLine="18"/>
              <w:jc w:val="both"/>
              <w:rPr>
                <w:rFonts w:asciiTheme="majorHAnsi" w:hAnsiTheme="majorHAnsi"/>
                <w:noProof/>
                <w:sz w:val="20"/>
                <w:szCs w:val="20"/>
              </w:rPr>
            </w:pPr>
          </w:p>
        </w:tc>
        <w:tc>
          <w:tcPr>
            <w:tcW w:w="9683" w:type="dxa"/>
            <w:vMerge w:val="restart"/>
            <w:tcBorders>
              <w:top w:val="nil"/>
              <w:left w:val="single" w:sz="12" w:space="0" w:color="auto"/>
              <w:bottom w:val="single" w:sz="12" w:space="0" w:color="auto"/>
              <w:right w:val="single" w:sz="12" w:space="0" w:color="auto"/>
            </w:tcBorders>
            <w:vAlign w:val="center"/>
          </w:tcPr>
          <w:p w:rsidR="00425721" w:rsidRPr="00535986" w:rsidRDefault="00425721" w:rsidP="00425721">
            <w:pPr>
              <w:ind w:right="54"/>
              <w:jc w:val="both"/>
              <w:rPr>
                <w:rFonts w:asciiTheme="majorHAnsi" w:hAnsiTheme="majorHAnsi"/>
                <w:spacing w:val="-10"/>
                <w:sz w:val="20"/>
                <w:szCs w:val="20"/>
              </w:rPr>
            </w:pPr>
            <w:r w:rsidRPr="00535986">
              <w:rPr>
                <w:rFonts w:asciiTheme="majorHAnsi" w:hAnsiTheme="majorHAnsi"/>
                <w:sz w:val="20"/>
                <w:szCs w:val="20"/>
              </w:rPr>
              <w:t>- голосование в соответствии с указаниями приобретателей акций, переданных после даты составления Списка, и (или) в соответствии с</w:t>
            </w:r>
            <w:r w:rsidRPr="00535986">
              <w:rPr>
                <w:rFonts w:asciiTheme="majorHAnsi" w:hAnsiTheme="majorHAnsi"/>
                <w:spacing w:val="-10"/>
                <w:sz w:val="20"/>
                <w:szCs w:val="20"/>
              </w:rPr>
              <w:t xml:space="preserve"> указаниями  владельцев депозитарных ценных бумаг.</w:t>
            </w:r>
          </w:p>
        </w:tc>
      </w:tr>
      <w:tr w:rsidR="00425721" w:rsidRPr="00535986" w:rsidTr="00E11E8F">
        <w:trPr>
          <w:cantSplit/>
          <w:trHeight w:val="133"/>
        </w:trPr>
        <w:tc>
          <w:tcPr>
            <w:tcW w:w="311" w:type="dxa"/>
            <w:vMerge/>
            <w:tcBorders>
              <w:left w:val="single" w:sz="12" w:space="0" w:color="auto"/>
              <w:bottom w:val="single" w:sz="12" w:space="0" w:color="auto"/>
              <w:right w:val="nil"/>
            </w:tcBorders>
          </w:tcPr>
          <w:p w:rsidR="00425721" w:rsidRPr="00535986" w:rsidRDefault="00425721" w:rsidP="00425721">
            <w:pPr>
              <w:ind w:right="54" w:firstLine="18"/>
              <w:jc w:val="both"/>
              <w:rPr>
                <w:rFonts w:asciiTheme="majorHAnsi" w:hAnsiTheme="majorHAnsi"/>
                <w:noProof/>
                <w:sz w:val="20"/>
                <w:szCs w:val="20"/>
              </w:rPr>
            </w:pPr>
          </w:p>
        </w:tc>
        <w:tc>
          <w:tcPr>
            <w:tcW w:w="427" w:type="dxa"/>
            <w:tcBorders>
              <w:top w:val="single" w:sz="4" w:space="0" w:color="auto"/>
              <w:left w:val="nil"/>
              <w:bottom w:val="single" w:sz="12" w:space="0" w:color="auto"/>
              <w:right w:val="nil"/>
            </w:tcBorders>
          </w:tcPr>
          <w:p w:rsidR="00425721" w:rsidRPr="00535986" w:rsidRDefault="00425721" w:rsidP="00425721">
            <w:pPr>
              <w:ind w:right="54" w:firstLine="18"/>
              <w:jc w:val="both"/>
              <w:rPr>
                <w:rFonts w:asciiTheme="majorHAnsi" w:hAnsiTheme="majorHAnsi"/>
                <w:noProof/>
                <w:sz w:val="20"/>
                <w:szCs w:val="20"/>
              </w:rPr>
            </w:pPr>
          </w:p>
        </w:tc>
        <w:tc>
          <w:tcPr>
            <w:tcW w:w="9683" w:type="dxa"/>
            <w:vMerge/>
            <w:tcBorders>
              <w:top w:val="single" w:sz="12" w:space="0" w:color="auto"/>
              <w:left w:val="nil"/>
              <w:bottom w:val="single" w:sz="12" w:space="0" w:color="auto"/>
              <w:right w:val="single" w:sz="12" w:space="0" w:color="auto"/>
            </w:tcBorders>
            <w:vAlign w:val="center"/>
          </w:tcPr>
          <w:p w:rsidR="00425721" w:rsidRPr="00535986" w:rsidRDefault="00425721" w:rsidP="00425721">
            <w:pPr>
              <w:ind w:left="57" w:right="54"/>
              <w:jc w:val="both"/>
              <w:rPr>
                <w:rFonts w:asciiTheme="majorHAnsi" w:hAnsiTheme="majorHAnsi"/>
                <w:spacing w:val="-10"/>
                <w:sz w:val="20"/>
                <w:szCs w:val="20"/>
              </w:rPr>
            </w:pPr>
          </w:p>
        </w:tc>
      </w:tr>
    </w:tbl>
    <w:p w:rsidR="00425721" w:rsidRPr="00535986" w:rsidRDefault="00425721" w:rsidP="00425721">
      <w:pPr>
        <w:ind w:firstLine="284"/>
        <w:jc w:val="both"/>
        <w:rPr>
          <w:rFonts w:asciiTheme="majorHAnsi" w:hAnsiTheme="majorHAnsi"/>
          <w:sz w:val="20"/>
          <w:szCs w:val="20"/>
        </w:rPr>
      </w:pPr>
      <w:r w:rsidRPr="00535986">
        <w:rPr>
          <w:rFonts w:asciiTheme="majorHAnsi" w:hAnsiTheme="majorHAnsi"/>
          <w:bCs/>
          <w:sz w:val="20"/>
          <w:szCs w:val="20"/>
        </w:rPr>
        <w:t>Документы (их копии, засвидетельствованные в установленном порядке), удостоверяющие полномочия правопреемников и представителей лиц, включенных в список лиц, имеющих право на участие в общем собрании акционеров,  передаются лицам, осуществляющим функции счетной комиссии  при регистрации этих лиц для участия в общем собрании.</w:t>
      </w:r>
    </w:p>
    <w:sectPr w:rsidR="00425721" w:rsidRPr="00535986" w:rsidSect="00425721">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E3" w:rsidRDefault="00AC6BE3" w:rsidP="00027BFD">
      <w:r>
        <w:separator/>
      </w:r>
    </w:p>
  </w:endnote>
  <w:endnote w:type="continuationSeparator" w:id="0">
    <w:p w:rsidR="00AC6BE3" w:rsidRDefault="00AC6BE3" w:rsidP="00027B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0322"/>
      <w:docPartObj>
        <w:docPartGallery w:val="Page Numbers (Bottom of Page)"/>
        <w:docPartUnique/>
      </w:docPartObj>
    </w:sdtPr>
    <w:sdtContent>
      <w:p w:rsidR="00027BFD" w:rsidRDefault="00E22CF4" w:rsidP="00277DFC">
        <w:pPr>
          <w:pStyle w:val="ac"/>
          <w:jc w:val="right"/>
        </w:pPr>
        <w:fldSimple w:instr=" PAGE   \* MERGEFORMAT ">
          <w:r w:rsidR="00DA064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E3" w:rsidRDefault="00AC6BE3" w:rsidP="00027BFD">
      <w:r>
        <w:separator/>
      </w:r>
    </w:p>
  </w:footnote>
  <w:footnote w:type="continuationSeparator" w:id="0">
    <w:p w:rsidR="00AC6BE3" w:rsidRDefault="00AC6BE3" w:rsidP="00027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5EC5"/>
    <w:multiLevelType w:val="hybridMultilevel"/>
    <w:tmpl w:val="405A4720"/>
    <w:lvl w:ilvl="0" w:tplc="0B1EF296">
      <w:start w:val="1"/>
      <w:numFmt w:val="decimal"/>
      <w:lvlText w:val="%1"/>
      <w:lvlJc w:val="left"/>
      <w:pPr>
        <w:ind w:left="720" w:hanging="360"/>
      </w:pPr>
      <w:rPr>
        <w:rFonts w:ascii="Cambria" w:eastAsia="Times New Roman" w:hAnsi="Cambria" w:cs="Times New Roman"/>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5721"/>
    <w:rsid w:val="00027BFD"/>
    <w:rsid w:val="00277DFC"/>
    <w:rsid w:val="00304E80"/>
    <w:rsid w:val="00322D70"/>
    <w:rsid w:val="003572FD"/>
    <w:rsid w:val="00425721"/>
    <w:rsid w:val="00535986"/>
    <w:rsid w:val="006F6E06"/>
    <w:rsid w:val="009A4EFE"/>
    <w:rsid w:val="00A149C3"/>
    <w:rsid w:val="00AC6BE3"/>
    <w:rsid w:val="00DA064D"/>
    <w:rsid w:val="00E22CF4"/>
    <w:rsid w:val="00EC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21"/>
    <w:pPr>
      <w:suppressAutoHyphens/>
    </w:pPr>
    <w:rPr>
      <w:sz w:val="24"/>
      <w:szCs w:val="24"/>
      <w:lang w:eastAsia="ar-SA"/>
    </w:rPr>
  </w:style>
  <w:style w:type="paragraph" w:styleId="1">
    <w:name w:val="heading 1"/>
    <w:basedOn w:val="a"/>
    <w:next w:val="a"/>
    <w:link w:val="10"/>
    <w:qFormat/>
    <w:rsid w:val="00304E80"/>
    <w:pPr>
      <w:keepNext/>
      <w:ind w:firstLine="567"/>
      <w:jc w:val="both"/>
      <w:outlineLvl w:val="0"/>
    </w:pPr>
    <w:rPr>
      <w:rFonts w:ascii="Arial" w:eastAsiaTheme="majorEastAsia"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98"/>
    <w:rPr>
      <w:rFonts w:ascii="Arial" w:eastAsiaTheme="majorEastAsia" w:hAnsi="Arial" w:cs="Arial"/>
      <w:b/>
    </w:rPr>
  </w:style>
  <w:style w:type="paragraph" w:styleId="a3">
    <w:name w:val="No Spacing"/>
    <w:uiPriority w:val="1"/>
    <w:qFormat/>
    <w:rsid w:val="00EC7098"/>
    <w:rPr>
      <w:bCs/>
      <w:color w:val="004080"/>
      <w:sz w:val="28"/>
      <w:szCs w:val="28"/>
    </w:rPr>
  </w:style>
  <w:style w:type="paragraph" w:styleId="a4">
    <w:name w:val="Title"/>
    <w:basedOn w:val="a"/>
    <w:link w:val="a5"/>
    <w:qFormat/>
    <w:rsid w:val="00304E80"/>
    <w:pPr>
      <w:jc w:val="center"/>
    </w:pPr>
    <w:rPr>
      <w:b/>
    </w:rPr>
  </w:style>
  <w:style w:type="character" w:customStyle="1" w:styleId="a5">
    <w:name w:val="Название Знак"/>
    <w:link w:val="a4"/>
    <w:rsid w:val="00304E80"/>
    <w:rPr>
      <w:b/>
      <w:bCs/>
      <w:sz w:val="24"/>
      <w:szCs w:val="24"/>
    </w:rPr>
  </w:style>
  <w:style w:type="paragraph" w:customStyle="1" w:styleId="11">
    <w:name w:val="Абзац списка1"/>
    <w:basedOn w:val="a"/>
    <w:qFormat/>
    <w:rsid w:val="00425721"/>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425721"/>
    <w:pPr>
      <w:suppressAutoHyphens w:val="0"/>
      <w:ind w:left="567"/>
      <w:jc w:val="both"/>
    </w:pPr>
    <w:rPr>
      <w:szCs w:val="20"/>
      <w:lang w:eastAsia="ru-RU"/>
    </w:rPr>
  </w:style>
  <w:style w:type="character" w:customStyle="1" w:styleId="20">
    <w:name w:val="Основной текст 2 Знак"/>
    <w:basedOn w:val="a0"/>
    <w:link w:val="2"/>
    <w:rsid w:val="00425721"/>
    <w:rPr>
      <w:sz w:val="24"/>
    </w:rPr>
  </w:style>
  <w:style w:type="paragraph" w:styleId="a6">
    <w:name w:val="Body Text"/>
    <w:basedOn w:val="a"/>
    <w:link w:val="a7"/>
    <w:rsid w:val="00425721"/>
    <w:pPr>
      <w:suppressAutoHyphens w:val="0"/>
      <w:jc w:val="both"/>
    </w:pPr>
    <w:rPr>
      <w:szCs w:val="20"/>
      <w:lang w:eastAsia="ru-RU"/>
    </w:rPr>
  </w:style>
  <w:style w:type="character" w:customStyle="1" w:styleId="a7">
    <w:name w:val="Основной текст Знак"/>
    <w:basedOn w:val="a0"/>
    <w:link w:val="a6"/>
    <w:rsid w:val="00425721"/>
    <w:rPr>
      <w:sz w:val="24"/>
    </w:rPr>
  </w:style>
  <w:style w:type="paragraph" w:styleId="21">
    <w:name w:val="Body Text Indent 2"/>
    <w:basedOn w:val="a"/>
    <w:link w:val="22"/>
    <w:rsid w:val="00425721"/>
    <w:pPr>
      <w:suppressAutoHyphens w:val="0"/>
      <w:spacing w:after="120" w:line="480" w:lineRule="auto"/>
      <w:ind w:left="283" w:firstLine="851"/>
      <w:jc w:val="both"/>
    </w:pPr>
    <w:rPr>
      <w:lang w:eastAsia="ru-RU"/>
    </w:rPr>
  </w:style>
  <w:style w:type="character" w:customStyle="1" w:styleId="22">
    <w:name w:val="Основной текст с отступом 2 Знак"/>
    <w:basedOn w:val="a0"/>
    <w:link w:val="21"/>
    <w:rsid w:val="00425721"/>
    <w:rPr>
      <w:sz w:val="24"/>
      <w:szCs w:val="24"/>
    </w:rPr>
  </w:style>
  <w:style w:type="paragraph" w:styleId="a8">
    <w:name w:val="List Paragraph"/>
    <w:aliases w:val="Цветной список - Акцент 11,Colorful Shading - Accent 32,Ненумерованный список,Цветная заливка - Акцент 31"/>
    <w:basedOn w:val="a"/>
    <w:link w:val="a9"/>
    <w:uiPriority w:val="34"/>
    <w:qFormat/>
    <w:rsid w:val="00425721"/>
    <w:pPr>
      <w:suppressAutoHyphens w:val="0"/>
      <w:ind w:left="720"/>
      <w:contextualSpacing/>
    </w:pPr>
  </w:style>
  <w:style w:type="character" w:customStyle="1" w:styleId="a9">
    <w:name w:val="Абзац списка Знак"/>
    <w:aliases w:val="Цветной список - Акцент 11 Знак,Colorful Shading - Accent 32 Знак,Ненумерованный список Знак,Цветная заливка - Акцент 31 Знак"/>
    <w:link w:val="a8"/>
    <w:uiPriority w:val="34"/>
    <w:locked/>
    <w:rsid w:val="00425721"/>
    <w:rPr>
      <w:sz w:val="24"/>
      <w:szCs w:val="24"/>
    </w:rPr>
  </w:style>
  <w:style w:type="paragraph" w:customStyle="1" w:styleId="ConsPlusNormal">
    <w:name w:val="ConsPlusNormal"/>
    <w:rsid w:val="00425721"/>
    <w:pPr>
      <w:autoSpaceDE w:val="0"/>
      <w:autoSpaceDN w:val="0"/>
      <w:adjustRightInd w:val="0"/>
    </w:pPr>
    <w:rPr>
      <w:rFonts w:ascii="Arial Narrow" w:hAnsi="Arial Narrow" w:cs="Arial Narrow"/>
      <w:sz w:val="24"/>
      <w:szCs w:val="24"/>
    </w:rPr>
  </w:style>
  <w:style w:type="paragraph" w:styleId="aa">
    <w:name w:val="header"/>
    <w:basedOn w:val="a"/>
    <w:link w:val="ab"/>
    <w:uiPriority w:val="99"/>
    <w:semiHidden/>
    <w:unhideWhenUsed/>
    <w:rsid w:val="00027BFD"/>
    <w:pPr>
      <w:tabs>
        <w:tab w:val="center" w:pos="4677"/>
        <w:tab w:val="right" w:pos="9355"/>
      </w:tabs>
    </w:pPr>
  </w:style>
  <w:style w:type="character" w:customStyle="1" w:styleId="ab">
    <w:name w:val="Верхний колонтитул Знак"/>
    <w:basedOn w:val="a0"/>
    <w:link w:val="aa"/>
    <w:uiPriority w:val="99"/>
    <w:semiHidden/>
    <w:rsid w:val="00027BFD"/>
    <w:rPr>
      <w:sz w:val="24"/>
      <w:szCs w:val="24"/>
      <w:lang w:eastAsia="ar-SA"/>
    </w:rPr>
  </w:style>
  <w:style w:type="paragraph" w:styleId="ac">
    <w:name w:val="footer"/>
    <w:basedOn w:val="a"/>
    <w:link w:val="ad"/>
    <w:uiPriority w:val="99"/>
    <w:unhideWhenUsed/>
    <w:rsid w:val="00027BFD"/>
    <w:pPr>
      <w:tabs>
        <w:tab w:val="center" w:pos="4677"/>
        <w:tab w:val="right" w:pos="9355"/>
      </w:tabs>
    </w:pPr>
  </w:style>
  <w:style w:type="character" w:customStyle="1" w:styleId="ad">
    <w:name w:val="Нижний колонтитул Знак"/>
    <w:basedOn w:val="a0"/>
    <w:link w:val="ac"/>
    <w:uiPriority w:val="99"/>
    <w:rsid w:val="00027BFD"/>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n.birjukova</dc:creator>
  <cp:lastModifiedBy>n.birjukova</cp:lastModifiedBy>
  <cp:revision>3</cp:revision>
  <cp:lastPrinted>2019-04-04T12:48:00Z</cp:lastPrinted>
  <dcterms:created xsi:type="dcterms:W3CDTF">2019-04-04T12:13:00Z</dcterms:created>
  <dcterms:modified xsi:type="dcterms:W3CDTF">2019-04-04T13:07:00Z</dcterms:modified>
</cp:coreProperties>
</file>